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A247B" w14:textId="2E9145F3" w:rsidR="00D24A2F" w:rsidRDefault="00CA6A33" w:rsidP="00D24A2F">
      <w:pPr>
        <w:rPr>
          <w:rFonts w:ascii="Times" w:hAnsi="Times"/>
          <w:b/>
          <w:i/>
          <w:color w:val="083065"/>
          <w:szCs w:val="22"/>
        </w:rPr>
      </w:pPr>
      <w:r>
        <w:rPr>
          <w:rFonts w:ascii="Times" w:hAnsi="Times"/>
          <w:b/>
          <w:i/>
          <w:color w:val="083065"/>
          <w:szCs w:val="22"/>
        </w:rPr>
        <w:t>Division of Risk Management</w:t>
      </w:r>
    </w:p>
    <w:p w14:paraId="0D266CEF" w14:textId="77777777" w:rsidR="00D24A2F" w:rsidRPr="00726CA3" w:rsidRDefault="00D24A2F" w:rsidP="00D24A2F">
      <w:pPr>
        <w:rPr>
          <w:rFonts w:ascii="Times" w:hAnsi="Times"/>
          <w:b/>
          <w:i/>
          <w:color w:val="083065"/>
          <w:szCs w:val="22"/>
        </w:rPr>
      </w:pPr>
    </w:p>
    <w:p w14:paraId="162DD608" w14:textId="2DC704EB" w:rsidR="00D24A2F" w:rsidRDefault="009D2729" w:rsidP="00D24A2F">
      <w:pPr>
        <w:pStyle w:val="Heading3"/>
        <w:rPr>
          <w:szCs w:val="22"/>
        </w:rPr>
      </w:pPr>
      <w:r>
        <w:rPr>
          <w:szCs w:val="22"/>
        </w:rPr>
        <w:t>SUSTAINABLE WASTE MANAGEMENT POLICY</w:t>
      </w:r>
    </w:p>
    <w:p w14:paraId="77D5C3C1" w14:textId="77777777" w:rsidR="004D259B" w:rsidRDefault="004D259B" w:rsidP="004D259B"/>
    <w:p w14:paraId="15C0265A" w14:textId="77777777" w:rsidR="00CC0ABC" w:rsidRPr="004D259B" w:rsidRDefault="00CC0ABC" w:rsidP="004D259B"/>
    <w:tbl>
      <w:tblPr>
        <w:tblStyle w:val="PlainTable4"/>
        <w:tblW w:w="0" w:type="auto"/>
        <w:tblLook w:val="04A0" w:firstRow="1" w:lastRow="0" w:firstColumn="1" w:lastColumn="0" w:noHBand="0" w:noVBand="1"/>
      </w:tblPr>
      <w:tblGrid>
        <w:gridCol w:w="4860"/>
        <w:gridCol w:w="3955"/>
      </w:tblGrid>
      <w:tr w:rsidR="00D24A2F" w:rsidRPr="004D2E31" w14:paraId="0E642185" w14:textId="77777777" w:rsidTr="00CC0A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0" w:type="dxa"/>
            <w:shd w:val="clear" w:color="auto" w:fill="auto"/>
          </w:tcPr>
          <w:p w14:paraId="6CF0569F" w14:textId="6E7040CC" w:rsidR="00D24A2F" w:rsidRPr="00043089" w:rsidRDefault="00D24A2F" w:rsidP="00B84F5E">
            <w:pPr>
              <w:rPr>
                <w:b/>
                <w:bCs w:val="0"/>
                <w:color w:val="auto"/>
              </w:rPr>
            </w:pPr>
            <w:r w:rsidRPr="00043089">
              <w:rPr>
                <w:b/>
                <w:bCs w:val="0"/>
                <w:color w:val="auto"/>
              </w:rPr>
              <w:t>Effective Date:</w:t>
            </w:r>
            <w:r w:rsidR="0051335A">
              <w:rPr>
                <w:b/>
                <w:bCs w:val="0"/>
                <w:color w:val="auto"/>
              </w:rPr>
              <w:t xml:space="preserve"> </w:t>
            </w:r>
            <w:r w:rsidR="00E54A0C" w:rsidRPr="00CC0ABC">
              <w:rPr>
                <w:color w:val="auto"/>
              </w:rPr>
              <w:t>1</w:t>
            </w:r>
            <w:r w:rsidR="0051335A" w:rsidRPr="00CC0ABC">
              <w:rPr>
                <w:color w:val="auto"/>
              </w:rPr>
              <w:t>1</w:t>
            </w:r>
            <w:r w:rsidR="00E54A0C" w:rsidRPr="00CC0ABC">
              <w:rPr>
                <w:color w:val="auto"/>
              </w:rPr>
              <w:t>/8/2022</w:t>
            </w:r>
          </w:p>
        </w:tc>
        <w:tc>
          <w:tcPr>
            <w:tcW w:w="3955" w:type="dxa"/>
            <w:shd w:val="clear" w:color="auto" w:fill="auto"/>
          </w:tcPr>
          <w:p w14:paraId="5B37FFFB" w14:textId="77777777" w:rsidR="00D24A2F" w:rsidRPr="004D2E31" w:rsidRDefault="00D24A2F" w:rsidP="00B84F5E">
            <w:pPr>
              <w:cnfStyle w:val="100000000000" w:firstRow="1" w:lastRow="0" w:firstColumn="0" w:lastColumn="0" w:oddVBand="0" w:evenVBand="0" w:oddHBand="0" w:evenHBand="0" w:firstRowFirstColumn="0" w:firstRowLastColumn="0" w:lastRowFirstColumn="0" w:lastRowLastColumn="0"/>
              <w:rPr>
                <w:color w:val="auto"/>
              </w:rPr>
            </w:pPr>
          </w:p>
        </w:tc>
      </w:tr>
      <w:tr w:rsidR="00D24A2F" w:rsidRPr="004D2E31" w14:paraId="5737C1FE" w14:textId="77777777" w:rsidTr="00CC0A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0" w:type="dxa"/>
            <w:shd w:val="clear" w:color="auto" w:fill="auto"/>
          </w:tcPr>
          <w:p w14:paraId="32669CEC" w14:textId="08E7D9FC" w:rsidR="00D24A2F" w:rsidRPr="00043089" w:rsidRDefault="00D24A2F" w:rsidP="00B84F5E">
            <w:pPr>
              <w:rPr>
                <w:bCs w:val="0"/>
                <w:color w:val="auto"/>
              </w:rPr>
            </w:pPr>
            <w:r w:rsidRPr="00043089">
              <w:rPr>
                <w:bCs w:val="0"/>
                <w:color w:val="auto"/>
              </w:rPr>
              <w:t>Supersedes:</w:t>
            </w:r>
            <w:r w:rsidRPr="00CC0ABC">
              <w:rPr>
                <w:b w:val="0"/>
                <w:color w:val="auto"/>
              </w:rPr>
              <w:t xml:space="preserve"> </w:t>
            </w:r>
            <w:r w:rsidR="00CC0ABC">
              <w:rPr>
                <w:b w:val="0"/>
                <w:color w:val="auto"/>
              </w:rPr>
              <w:t xml:space="preserve"> </w:t>
            </w:r>
            <w:r w:rsidR="00CC0ABC" w:rsidRPr="00CC0ABC">
              <w:rPr>
                <w:b w:val="0"/>
                <w:color w:val="auto"/>
              </w:rPr>
              <w:t>N/A</w:t>
            </w:r>
          </w:p>
        </w:tc>
        <w:tc>
          <w:tcPr>
            <w:tcW w:w="3955" w:type="dxa"/>
            <w:shd w:val="clear" w:color="auto" w:fill="auto"/>
          </w:tcPr>
          <w:p w14:paraId="259EC6A7" w14:textId="4381C218" w:rsidR="00D24A2F" w:rsidRPr="004D2E31" w:rsidRDefault="00D24A2F" w:rsidP="00B84F5E">
            <w:pPr>
              <w:cnfStyle w:val="000000100000" w:firstRow="0" w:lastRow="0" w:firstColumn="0" w:lastColumn="0" w:oddVBand="0" w:evenVBand="0" w:oddHBand="1" w:evenHBand="0" w:firstRowFirstColumn="0" w:firstRowLastColumn="0" w:lastRowFirstColumn="0" w:lastRowLastColumn="0"/>
              <w:rPr>
                <w:color w:val="auto"/>
              </w:rPr>
            </w:pPr>
          </w:p>
        </w:tc>
      </w:tr>
      <w:tr w:rsidR="00D24A2F" w:rsidRPr="004D2E31" w14:paraId="49F78247" w14:textId="77777777" w:rsidTr="00CC0ABC">
        <w:tc>
          <w:tcPr>
            <w:cnfStyle w:val="001000000000" w:firstRow="0" w:lastRow="0" w:firstColumn="1" w:lastColumn="0" w:oddVBand="0" w:evenVBand="0" w:oddHBand="0" w:evenHBand="0" w:firstRowFirstColumn="0" w:firstRowLastColumn="0" w:lastRowFirstColumn="0" w:lastRowLastColumn="0"/>
            <w:tcW w:w="4860" w:type="dxa"/>
            <w:shd w:val="clear" w:color="auto" w:fill="auto"/>
          </w:tcPr>
          <w:p w14:paraId="111A1880" w14:textId="29991A71" w:rsidR="00D24A2F" w:rsidRPr="007A7BCB" w:rsidRDefault="00D24A2F" w:rsidP="00B84F5E">
            <w:pPr>
              <w:rPr>
                <w:b w:val="0"/>
                <w:bCs w:val="0"/>
                <w:color w:val="auto"/>
              </w:rPr>
            </w:pPr>
            <w:r w:rsidRPr="004D2E31">
              <w:rPr>
                <w:color w:val="auto"/>
              </w:rPr>
              <w:t>Issuing Authority:</w:t>
            </w:r>
            <w:r w:rsidR="007A7BCB">
              <w:rPr>
                <w:color w:val="auto"/>
              </w:rPr>
              <w:t xml:space="preserve"> </w:t>
            </w:r>
            <w:r w:rsidR="009C055E" w:rsidRPr="00CC0ABC">
              <w:rPr>
                <w:b w:val="0"/>
                <w:bCs w:val="0"/>
                <w:color w:val="auto"/>
              </w:rPr>
              <w:t>University Compliance</w:t>
            </w:r>
          </w:p>
        </w:tc>
        <w:tc>
          <w:tcPr>
            <w:tcW w:w="3955" w:type="dxa"/>
            <w:shd w:val="clear" w:color="auto" w:fill="auto"/>
          </w:tcPr>
          <w:p w14:paraId="312A9734" w14:textId="677770B0" w:rsidR="00D24A2F" w:rsidRPr="004D2E31" w:rsidRDefault="00D24A2F" w:rsidP="007A7BCB">
            <w:pPr>
              <w:tabs>
                <w:tab w:val="left" w:pos="1980"/>
              </w:tabs>
              <w:cnfStyle w:val="000000000000" w:firstRow="0" w:lastRow="0" w:firstColumn="0" w:lastColumn="0" w:oddVBand="0" w:evenVBand="0" w:oddHBand="0" w:evenHBand="0" w:firstRowFirstColumn="0" w:firstRowLastColumn="0" w:lastRowFirstColumn="0" w:lastRowLastColumn="0"/>
              <w:rPr>
                <w:color w:val="auto"/>
              </w:rPr>
            </w:pPr>
          </w:p>
        </w:tc>
      </w:tr>
      <w:tr w:rsidR="00D24A2F" w:rsidRPr="004D2E31" w14:paraId="1F107926" w14:textId="77777777" w:rsidTr="00CC0A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0" w:type="dxa"/>
            <w:shd w:val="clear" w:color="auto" w:fill="auto"/>
          </w:tcPr>
          <w:p w14:paraId="374DB636" w14:textId="5DD71D52" w:rsidR="00D24A2F" w:rsidRPr="004D2E31" w:rsidRDefault="00D24A2F" w:rsidP="00B84F5E">
            <w:pPr>
              <w:rPr>
                <w:color w:val="auto"/>
              </w:rPr>
            </w:pPr>
            <w:r w:rsidRPr="004D2E31">
              <w:rPr>
                <w:color w:val="auto"/>
              </w:rPr>
              <w:t>Responsible Office</w:t>
            </w:r>
            <w:r>
              <w:rPr>
                <w:color w:val="auto"/>
              </w:rPr>
              <w:t>r</w:t>
            </w:r>
            <w:r w:rsidRPr="004D2E31">
              <w:rPr>
                <w:color w:val="auto"/>
              </w:rPr>
              <w:t>:</w:t>
            </w:r>
            <w:r w:rsidR="009C055E">
              <w:rPr>
                <w:color w:val="auto"/>
              </w:rPr>
              <w:t xml:space="preserve">  </w:t>
            </w:r>
            <w:r w:rsidR="00CC0ABC" w:rsidRPr="00CC0ABC">
              <w:rPr>
                <w:b w:val="0"/>
                <w:bCs w:val="0"/>
                <w:color w:val="auto"/>
              </w:rPr>
              <w:t>Chief Compliance Officer</w:t>
            </w:r>
          </w:p>
        </w:tc>
        <w:tc>
          <w:tcPr>
            <w:tcW w:w="3955" w:type="dxa"/>
            <w:shd w:val="clear" w:color="auto" w:fill="auto"/>
          </w:tcPr>
          <w:p w14:paraId="3B53F5FB" w14:textId="6C2AF59D" w:rsidR="00D24A2F" w:rsidRPr="004D2E31" w:rsidRDefault="00D24A2F" w:rsidP="00B84F5E">
            <w:pPr>
              <w:cnfStyle w:val="000000100000" w:firstRow="0" w:lastRow="0" w:firstColumn="0" w:lastColumn="0" w:oddVBand="0" w:evenVBand="0" w:oddHBand="1" w:evenHBand="0" w:firstRowFirstColumn="0" w:firstRowLastColumn="0" w:lastRowFirstColumn="0" w:lastRowLastColumn="0"/>
              <w:rPr>
                <w:color w:val="auto"/>
              </w:rPr>
            </w:pPr>
          </w:p>
        </w:tc>
      </w:tr>
    </w:tbl>
    <w:p w14:paraId="35664F37" w14:textId="77777777" w:rsidR="004D259B" w:rsidRPr="00726CA3" w:rsidRDefault="004D259B" w:rsidP="00D24A2F">
      <w:pPr>
        <w:jc w:val="center"/>
        <w:rPr>
          <w:b/>
          <w:szCs w:val="22"/>
        </w:rPr>
      </w:pPr>
    </w:p>
    <w:p w14:paraId="02F96BF3" w14:textId="77777777" w:rsidR="00D24A2F" w:rsidRPr="00726CA3" w:rsidRDefault="00D24A2F" w:rsidP="00D24A2F">
      <w:pPr>
        <w:pStyle w:val="Heading4"/>
        <w:pBdr>
          <w:bottom w:val="single" w:sz="6" w:space="1" w:color="auto"/>
        </w:pBdr>
        <w:rPr>
          <w:szCs w:val="22"/>
        </w:rPr>
      </w:pPr>
      <w:r>
        <w:rPr>
          <w:szCs w:val="22"/>
        </w:rPr>
        <w:t>I.</w:t>
      </w:r>
      <w:r>
        <w:rPr>
          <w:szCs w:val="22"/>
        </w:rPr>
        <w:tab/>
        <w:t>Policy Statement</w:t>
      </w:r>
    </w:p>
    <w:p w14:paraId="4DCB196D" w14:textId="0E9EBC4C" w:rsidR="009D2729" w:rsidRDefault="00092782" w:rsidP="005972C4">
      <w:pPr>
        <w:pStyle w:val="ListBullet"/>
        <w:numPr>
          <w:ilvl w:val="0"/>
          <w:numId w:val="0"/>
        </w:numPr>
        <w:spacing w:after="0"/>
        <w:jc w:val="both"/>
        <w:rPr>
          <w:sz w:val="22"/>
          <w:szCs w:val="22"/>
        </w:rPr>
      </w:pPr>
      <w:r>
        <w:rPr>
          <w:sz w:val="22"/>
          <w:szCs w:val="22"/>
        </w:rPr>
        <w:t>The University of Tulsa</w:t>
      </w:r>
      <w:r w:rsidR="009D2729" w:rsidRPr="009D2729">
        <w:rPr>
          <w:sz w:val="22"/>
          <w:szCs w:val="22"/>
        </w:rPr>
        <w:t xml:space="preserve"> is committed to enhancing the health and wellbeing of its campus community, to increasing safety practices, to reducing consumption of energy and fuels, to minimizing emissions, and to reducing solid and hazardous wastes. Members of the University community are expected to integrate into their daily operations best practices to reduce, reuse, and recycle materials, consistent with municipal, state, and federal rules and guidance.</w:t>
      </w:r>
    </w:p>
    <w:p w14:paraId="4D144529" w14:textId="77777777" w:rsidR="00A1098C" w:rsidRPr="009D2729" w:rsidRDefault="00A1098C" w:rsidP="00517D48">
      <w:pPr>
        <w:pStyle w:val="ListBullet"/>
        <w:numPr>
          <w:ilvl w:val="0"/>
          <w:numId w:val="0"/>
        </w:numPr>
        <w:spacing w:before="0" w:after="0" w:line="240" w:lineRule="auto"/>
        <w:jc w:val="both"/>
        <w:rPr>
          <w:sz w:val="22"/>
          <w:szCs w:val="22"/>
        </w:rPr>
      </w:pPr>
    </w:p>
    <w:p w14:paraId="35AEF6C3" w14:textId="039B3F45" w:rsidR="00D24A2F" w:rsidRDefault="009D2729" w:rsidP="005972C4">
      <w:pPr>
        <w:pStyle w:val="ListBullet"/>
        <w:numPr>
          <w:ilvl w:val="0"/>
          <w:numId w:val="0"/>
        </w:numPr>
        <w:spacing w:before="0" w:after="0" w:line="264" w:lineRule="auto"/>
        <w:jc w:val="both"/>
        <w:rPr>
          <w:sz w:val="22"/>
          <w:szCs w:val="22"/>
        </w:rPr>
      </w:pPr>
      <w:r w:rsidRPr="009D2729">
        <w:rPr>
          <w:sz w:val="22"/>
          <w:szCs w:val="22"/>
        </w:rPr>
        <w:t>This policy applies to the management of various types of generated solid and liquid wastes, as defined below. However, this policy does not apply to the management of domestic sewage, the mixtures of domestic sewage allowable for sanitary disposal, or the management of storm or irrigation water run-off.</w:t>
      </w:r>
    </w:p>
    <w:p w14:paraId="4C836D63" w14:textId="77777777" w:rsidR="004A06C1" w:rsidRPr="004A06C1" w:rsidRDefault="004A06C1" w:rsidP="00517D48">
      <w:pPr>
        <w:jc w:val="both"/>
        <w:rPr>
          <w:rFonts w:eastAsia="Times New Roman" w:cstheme="minorHAnsi"/>
          <w:szCs w:val="22"/>
        </w:rPr>
      </w:pPr>
    </w:p>
    <w:p w14:paraId="143D5423" w14:textId="77777777" w:rsidR="00D24A2F" w:rsidRPr="00726CA3" w:rsidRDefault="00D24A2F" w:rsidP="00517D48">
      <w:pPr>
        <w:pStyle w:val="ListBullet"/>
        <w:numPr>
          <w:ilvl w:val="0"/>
          <w:numId w:val="0"/>
        </w:numPr>
        <w:pBdr>
          <w:bottom w:val="single" w:sz="6" w:space="1" w:color="auto"/>
        </w:pBdr>
        <w:spacing w:line="240" w:lineRule="auto"/>
        <w:rPr>
          <w:b/>
          <w:sz w:val="22"/>
          <w:szCs w:val="22"/>
        </w:rPr>
      </w:pPr>
      <w:r>
        <w:rPr>
          <w:b/>
          <w:sz w:val="22"/>
          <w:szCs w:val="22"/>
        </w:rPr>
        <w:t>II.</w:t>
      </w:r>
      <w:r>
        <w:rPr>
          <w:b/>
          <w:sz w:val="22"/>
          <w:szCs w:val="22"/>
        </w:rPr>
        <w:tab/>
        <w:t>Application</w:t>
      </w:r>
    </w:p>
    <w:p w14:paraId="2DAB0BCA" w14:textId="77777777" w:rsidR="00BA780E" w:rsidRDefault="00D548C1" w:rsidP="00BA780E">
      <w:pPr>
        <w:pStyle w:val="ListBullet"/>
        <w:numPr>
          <w:ilvl w:val="0"/>
          <w:numId w:val="0"/>
        </w:numPr>
        <w:spacing w:line="264" w:lineRule="auto"/>
        <w:jc w:val="both"/>
        <w:rPr>
          <w:sz w:val="22"/>
          <w:szCs w:val="22"/>
        </w:rPr>
      </w:pPr>
      <w:r>
        <w:rPr>
          <w:sz w:val="22"/>
          <w:szCs w:val="22"/>
        </w:rPr>
        <w:t>The University of Tulsa</w:t>
      </w:r>
      <w:r w:rsidR="00CE4549" w:rsidRPr="00CE4549">
        <w:rPr>
          <w:sz w:val="22"/>
          <w:szCs w:val="22"/>
        </w:rPr>
        <w:t xml:space="preserve"> endeavors to adopt practices that reflect a comprehensive approach to conserving resources and reducing and managing waste. In order to minimize our environmental footprint; to provide guidance to the University community on best practices for reducing and recycling waste; and to promote adherence to environmental law, this policy establishes a sustainable, solid waste management program that communicates acceptable methods of handling, storing, recycling, and disposing of materials.</w:t>
      </w:r>
    </w:p>
    <w:p w14:paraId="31BFF3B8" w14:textId="15F01D2D" w:rsidR="00EE656C" w:rsidRDefault="00EE656C" w:rsidP="00BA780E">
      <w:pPr>
        <w:pStyle w:val="ListBullet"/>
        <w:numPr>
          <w:ilvl w:val="0"/>
          <w:numId w:val="0"/>
        </w:numPr>
        <w:spacing w:line="264" w:lineRule="auto"/>
        <w:jc w:val="both"/>
        <w:rPr>
          <w:sz w:val="22"/>
          <w:szCs w:val="22"/>
        </w:rPr>
      </w:pPr>
    </w:p>
    <w:p w14:paraId="72BB5B71" w14:textId="77777777" w:rsidR="00D24A2F" w:rsidRPr="00C30074" w:rsidRDefault="00D24A2F" w:rsidP="00D24A2F">
      <w:pPr>
        <w:pStyle w:val="ListBullet"/>
        <w:numPr>
          <w:ilvl w:val="0"/>
          <w:numId w:val="0"/>
        </w:numPr>
        <w:pBdr>
          <w:bottom w:val="single" w:sz="6" w:space="1" w:color="auto"/>
        </w:pBdr>
        <w:rPr>
          <w:b/>
          <w:bCs/>
          <w:sz w:val="22"/>
          <w:szCs w:val="22"/>
        </w:rPr>
      </w:pPr>
      <w:r>
        <w:rPr>
          <w:b/>
          <w:bCs/>
          <w:sz w:val="22"/>
          <w:szCs w:val="22"/>
        </w:rPr>
        <w:t>III.</w:t>
      </w:r>
      <w:r>
        <w:rPr>
          <w:b/>
          <w:bCs/>
          <w:sz w:val="22"/>
          <w:szCs w:val="22"/>
        </w:rPr>
        <w:tab/>
      </w:r>
      <w:r w:rsidRPr="00C30074">
        <w:rPr>
          <w:b/>
          <w:bCs/>
          <w:sz w:val="22"/>
          <w:szCs w:val="22"/>
        </w:rPr>
        <w:t>Definitions</w:t>
      </w:r>
    </w:p>
    <w:p w14:paraId="27B86554" w14:textId="49D2E975" w:rsidR="00337874" w:rsidRPr="00337874" w:rsidRDefault="00337874" w:rsidP="00BA780E">
      <w:pPr>
        <w:spacing w:line="264" w:lineRule="auto"/>
        <w:jc w:val="both"/>
        <w:rPr>
          <w:rFonts w:eastAsia="Times New Roman" w:cstheme="minorHAnsi"/>
          <w:szCs w:val="22"/>
          <w:bdr w:val="none" w:sz="0" w:space="0" w:color="auto" w:frame="1"/>
        </w:rPr>
      </w:pPr>
      <w:r w:rsidRPr="009715DD">
        <w:rPr>
          <w:rFonts w:eastAsia="Times New Roman" w:cstheme="minorHAnsi"/>
          <w:b/>
          <w:bCs/>
          <w:szCs w:val="22"/>
          <w:bdr w:val="none" w:sz="0" w:space="0" w:color="auto" w:frame="1"/>
        </w:rPr>
        <w:t>Electronic waste or e-waste</w:t>
      </w:r>
      <w:r w:rsidR="009715DD">
        <w:rPr>
          <w:rFonts w:eastAsia="Times New Roman" w:cstheme="minorHAnsi"/>
          <w:b/>
          <w:bCs/>
          <w:szCs w:val="22"/>
          <w:bdr w:val="none" w:sz="0" w:space="0" w:color="auto" w:frame="1"/>
        </w:rPr>
        <w:t xml:space="preserve"> </w:t>
      </w:r>
      <w:r w:rsidR="009715DD" w:rsidRPr="009715DD">
        <w:rPr>
          <w:rFonts w:eastAsia="Times New Roman" w:cstheme="minorHAnsi"/>
          <w:szCs w:val="22"/>
          <w:bdr w:val="none" w:sz="0" w:space="0" w:color="auto" w:frame="1"/>
        </w:rPr>
        <w:t>is</w:t>
      </w:r>
      <w:r w:rsidRPr="00337874">
        <w:rPr>
          <w:rFonts w:eastAsia="Times New Roman" w:cstheme="minorHAnsi"/>
          <w:szCs w:val="22"/>
          <w:bdr w:val="none" w:sz="0" w:space="0" w:color="auto" w:frame="1"/>
        </w:rPr>
        <w:t xml:space="preserve"> electronic materials or appliances that are at the end of their useful life. Electronic equipment often contains sensitive data and hazardous materials (lead, chromium, cadmium, mercury, beryllium, nickel, zinc, brominated flame retardants, etc.) whose disposal is regulated. Common electronic appliances include computers, printers, monitors, microwaves, telephones, televisions, laboratory appliances, and refrigeration units (freezers, refrigerators, and air conditioners).</w:t>
      </w:r>
    </w:p>
    <w:p w14:paraId="71A546A8" w14:textId="77777777" w:rsidR="00661D8A" w:rsidRDefault="00661D8A" w:rsidP="00337874">
      <w:pPr>
        <w:rPr>
          <w:rFonts w:eastAsia="Times New Roman" w:cstheme="minorHAnsi"/>
          <w:szCs w:val="22"/>
          <w:bdr w:val="none" w:sz="0" w:space="0" w:color="auto" w:frame="1"/>
        </w:rPr>
      </w:pPr>
    </w:p>
    <w:p w14:paraId="2172B37F" w14:textId="7F8BF7E0" w:rsidR="00337874" w:rsidRDefault="00337874" w:rsidP="00BA780E">
      <w:pPr>
        <w:spacing w:line="264" w:lineRule="auto"/>
        <w:jc w:val="both"/>
        <w:rPr>
          <w:rFonts w:eastAsia="Times New Roman" w:cstheme="minorHAnsi"/>
          <w:szCs w:val="22"/>
          <w:bdr w:val="none" w:sz="0" w:space="0" w:color="auto" w:frame="1"/>
        </w:rPr>
      </w:pPr>
      <w:r w:rsidRPr="009715DD">
        <w:rPr>
          <w:rFonts w:eastAsia="Times New Roman" w:cstheme="minorHAnsi"/>
          <w:b/>
          <w:bCs/>
          <w:szCs w:val="22"/>
          <w:bdr w:val="none" w:sz="0" w:space="0" w:color="auto" w:frame="1"/>
        </w:rPr>
        <w:t>Hazardous waste</w:t>
      </w:r>
      <w:r w:rsidR="009715DD">
        <w:rPr>
          <w:rFonts w:eastAsia="Times New Roman" w:cstheme="minorHAnsi"/>
          <w:szCs w:val="22"/>
          <w:bdr w:val="none" w:sz="0" w:space="0" w:color="auto" w:frame="1"/>
        </w:rPr>
        <w:t xml:space="preserve"> is</w:t>
      </w:r>
      <w:r w:rsidRPr="00337874">
        <w:rPr>
          <w:rFonts w:eastAsia="Times New Roman" w:cstheme="minorHAnsi"/>
          <w:szCs w:val="22"/>
          <w:bdr w:val="none" w:sz="0" w:space="0" w:color="auto" w:frame="1"/>
        </w:rPr>
        <w:t xml:space="preserve"> any material that (i) exhibits hazardous characteristics as defined by federal or state law, (ii) is unusable or unwanted in any way, and (iii) poses a potential hazard to individuals, the environment, or public health. Hazardous waste includes, but is not limited to, chemical, </w:t>
      </w:r>
      <w:r w:rsidRPr="00337874">
        <w:rPr>
          <w:rFonts w:eastAsia="Times New Roman" w:cstheme="minorHAnsi"/>
          <w:szCs w:val="22"/>
          <w:bdr w:val="none" w:sz="0" w:space="0" w:color="auto" w:frame="1"/>
        </w:rPr>
        <w:lastRenderedPageBreak/>
        <w:t>radioactive, or potentially infectious waste. For a list of examples of hazardous waste and detailed information on its disposal, see the Hazardous Waste Disposal Guide (aka “Purple Guide”).</w:t>
      </w:r>
    </w:p>
    <w:p w14:paraId="11C81E7D" w14:textId="77777777" w:rsidR="004D259B" w:rsidRPr="00337874" w:rsidRDefault="004D259B" w:rsidP="00BA780E">
      <w:pPr>
        <w:spacing w:line="264" w:lineRule="auto"/>
        <w:jc w:val="both"/>
        <w:rPr>
          <w:rFonts w:eastAsia="Times New Roman" w:cstheme="minorHAnsi"/>
          <w:szCs w:val="22"/>
          <w:bdr w:val="none" w:sz="0" w:space="0" w:color="auto" w:frame="1"/>
        </w:rPr>
      </w:pPr>
    </w:p>
    <w:p w14:paraId="485CDC03" w14:textId="2D9F3C02" w:rsidR="00337874" w:rsidRDefault="00337874" w:rsidP="00BA780E">
      <w:pPr>
        <w:spacing w:line="264" w:lineRule="auto"/>
        <w:jc w:val="both"/>
        <w:rPr>
          <w:rFonts w:eastAsia="Times New Roman" w:cstheme="minorHAnsi"/>
          <w:szCs w:val="22"/>
          <w:bdr w:val="none" w:sz="0" w:space="0" w:color="auto" w:frame="1"/>
        </w:rPr>
      </w:pPr>
      <w:r w:rsidRPr="009715DD">
        <w:rPr>
          <w:rFonts w:eastAsia="Times New Roman" w:cstheme="minorHAnsi"/>
          <w:b/>
          <w:bCs/>
          <w:szCs w:val="22"/>
          <w:bdr w:val="none" w:sz="0" w:space="0" w:color="auto" w:frame="1"/>
        </w:rPr>
        <w:t>Municipal solid waste</w:t>
      </w:r>
      <w:r w:rsidR="009715DD">
        <w:rPr>
          <w:rFonts w:eastAsia="Times New Roman" w:cstheme="minorHAnsi"/>
          <w:b/>
          <w:bCs/>
          <w:szCs w:val="22"/>
          <w:bdr w:val="none" w:sz="0" w:space="0" w:color="auto" w:frame="1"/>
        </w:rPr>
        <w:t xml:space="preserve"> </w:t>
      </w:r>
      <w:r w:rsidR="009715DD" w:rsidRPr="009715DD">
        <w:rPr>
          <w:rFonts w:eastAsia="Times New Roman" w:cstheme="minorHAnsi"/>
          <w:szCs w:val="22"/>
          <w:bdr w:val="none" w:sz="0" w:space="0" w:color="auto" w:frame="1"/>
        </w:rPr>
        <w:t>is</w:t>
      </w:r>
      <w:r w:rsidRPr="00337874">
        <w:rPr>
          <w:rFonts w:eastAsia="Times New Roman" w:cstheme="minorHAnsi"/>
          <w:szCs w:val="22"/>
          <w:bdr w:val="none" w:sz="0" w:space="0" w:color="auto" w:frame="1"/>
        </w:rPr>
        <w:t xml:space="preserve"> everyday items used and then thrown away, such as product packaging, grass clippings, furniture, clothing, bottles, food scraps, newspapers, and appliances. Municipal solid waste is commonly known as trash or garbage.</w:t>
      </w:r>
    </w:p>
    <w:p w14:paraId="03140D93" w14:textId="77777777" w:rsidR="009715DD" w:rsidRPr="00337874" w:rsidRDefault="009715DD" w:rsidP="00BA780E">
      <w:pPr>
        <w:spacing w:line="264" w:lineRule="auto"/>
        <w:jc w:val="both"/>
        <w:rPr>
          <w:rFonts w:eastAsia="Times New Roman" w:cstheme="minorHAnsi"/>
          <w:szCs w:val="22"/>
          <w:bdr w:val="none" w:sz="0" w:space="0" w:color="auto" w:frame="1"/>
        </w:rPr>
      </w:pPr>
    </w:p>
    <w:p w14:paraId="2D7146DE" w14:textId="3E81CF48" w:rsidR="00337874" w:rsidRDefault="00337874" w:rsidP="00BA780E">
      <w:pPr>
        <w:spacing w:line="264" w:lineRule="auto"/>
        <w:jc w:val="both"/>
        <w:rPr>
          <w:rFonts w:eastAsia="Times New Roman" w:cstheme="minorHAnsi"/>
          <w:szCs w:val="22"/>
          <w:bdr w:val="none" w:sz="0" w:space="0" w:color="auto" w:frame="1"/>
        </w:rPr>
      </w:pPr>
      <w:r w:rsidRPr="00324C28">
        <w:rPr>
          <w:rFonts w:eastAsia="Times New Roman" w:cstheme="minorHAnsi"/>
          <w:b/>
          <w:bCs/>
          <w:szCs w:val="22"/>
          <w:bdr w:val="none" w:sz="0" w:space="0" w:color="auto" w:frame="1"/>
        </w:rPr>
        <w:t>Non-research area</w:t>
      </w:r>
      <w:r w:rsidRPr="00337874">
        <w:rPr>
          <w:rFonts w:eastAsia="Times New Roman" w:cstheme="minorHAnsi"/>
          <w:szCs w:val="22"/>
          <w:bdr w:val="none" w:sz="0" w:space="0" w:color="auto" w:frame="1"/>
        </w:rPr>
        <w:t xml:space="preserve"> </w:t>
      </w:r>
      <w:r w:rsidR="00324C28">
        <w:rPr>
          <w:rFonts w:eastAsia="Times New Roman" w:cstheme="minorHAnsi"/>
          <w:szCs w:val="22"/>
          <w:bdr w:val="none" w:sz="0" w:space="0" w:color="auto" w:frame="1"/>
        </w:rPr>
        <w:t>is an area</w:t>
      </w:r>
      <w:r w:rsidRPr="00337874">
        <w:rPr>
          <w:rFonts w:eastAsia="Times New Roman" w:cstheme="minorHAnsi"/>
          <w:szCs w:val="22"/>
          <w:bdr w:val="none" w:sz="0" w:space="0" w:color="auto" w:frame="1"/>
        </w:rPr>
        <w:t xml:space="preserve"> on </w:t>
      </w:r>
      <w:proofErr w:type="gramStart"/>
      <w:r w:rsidR="00BA780E">
        <w:rPr>
          <w:rFonts w:eastAsia="Times New Roman" w:cstheme="minorHAnsi"/>
          <w:szCs w:val="22"/>
          <w:bdr w:val="none" w:sz="0" w:space="0" w:color="auto" w:frame="1"/>
        </w:rPr>
        <w:t>U</w:t>
      </w:r>
      <w:r w:rsidR="00D526F4" w:rsidRPr="00337874">
        <w:rPr>
          <w:rFonts w:eastAsia="Times New Roman" w:cstheme="minorHAnsi"/>
          <w:szCs w:val="22"/>
          <w:bdr w:val="none" w:sz="0" w:space="0" w:color="auto" w:frame="1"/>
        </w:rPr>
        <w:t>niversity</w:t>
      </w:r>
      <w:proofErr w:type="gramEnd"/>
      <w:r w:rsidRPr="00337874">
        <w:rPr>
          <w:rFonts w:eastAsia="Times New Roman" w:cstheme="minorHAnsi"/>
          <w:szCs w:val="22"/>
          <w:bdr w:val="none" w:sz="0" w:space="0" w:color="auto" w:frame="1"/>
        </w:rPr>
        <w:t xml:space="preserve"> property that is not a teaching or research laboratory.</w:t>
      </w:r>
    </w:p>
    <w:p w14:paraId="5E45486F" w14:textId="77777777" w:rsidR="00324C28" w:rsidRPr="00337874" w:rsidRDefault="00324C28" w:rsidP="00BA780E">
      <w:pPr>
        <w:spacing w:line="264" w:lineRule="auto"/>
        <w:jc w:val="both"/>
        <w:rPr>
          <w:rFonts w:eastAsia="Times New Roman" w:cstheme="minorHAnsi"/>
          <w:szCs w:val="22"/>
          <w:bdr w:val="none" w:sz="0" w:space="0" w:color="auto" w:frame="1"/>
        </w:rPr>
      </w:pPr>
    </w:p>
    <w:p w14:paraId="6DB87C13" w14:textId="7096377B" w:rsidR="00337874" w:rsidRDefault="00324C28" w:rsidP="00BA780E">
      <w:pPr>
        <w:spacing w:line="264" w:lineRule="auto"/>
        <w:jc w:val="both"/>
        <w:rPr>
          <w:rFonts w:eastAsia="Times New Roman" w:cstheme="minorHAnsi"/>
          <w:szCs w:val="22"/>
          <w:bdr w:val="none" w:sz="0" w:space="0" w:color="auto" w:frame="1"/>
        </w:rPr>
      </w:pPr>
      <w:r w:rsidRPr="00324C28">
        <w:rPr>
          <w:rFonts w:eastAsia="Times New Roman" w:cstheme="minorHAnsi"/>
          <w:b/>
          <w:bCs/>
          <w:szCs w:val="22"/>
          <w:bdr w:val="none" w:sz="0" w:space="0" w:color="auto" w:frame="1"/>
        </w:rPr>
        <w:t>Specially regulated</w:t>
      </w:r>
      <w:r w:rsidR="00337874" w:rsidRPr="00324C28">
        <w:rPr>
          <w:rFonts w:eastAsia="Times New Roman" w:cstheme="minorHAnsi"/>
          <w:b/>
          <w:bCs/>
          <w:szCs w:val="22"/>
          <w:bdr w:val="none" w:sz="0" w:space="0" w:color="auto" w:frame="1"/>
        </w:rPr>
        <w:t xml:space="preserve"> waste</w:t>
      </w:r>
      <w:r w:rsidR="00337874" w:rsidRPr="00337874">
        <w:rPr>
          <w:rFonts w:eastAsia="Times New Roman" w:cstheme="minorHAnsi"/>
          <w:szCs w:val="22"/>
          <w:bdr w:val="none" w:sz="0" w:space="0" w:color="auto" w:frame="1"/>
        </w:rPr>
        <w:t xml:space="preserve"> </w:t>
      </w:r>
      <w:r w:rsidR="00041ACA">
        <w:rPr>
          <w:rFonts w:eastAsia="Times New Roman" w:cstheme="minorHAnsi"/>
          <w:szCs w:val="22"/>
          <w:bdr w:val="none" w:sz="0" w:space="0" w:color="auto" w:frame="1"/>
        </w:rPr>
        <w:t xml:space="preserve">is </w:t>
      </w:r>
      <w:r w:rsidR="00337874" w:rsidRPr="00337874">
        <w:rPr>
          <w:rFonts w:eastAsia="Times New Roman" w:cstheme="minorHAnsi"/>
          <w:szCs w:val="22"/>
          <w:bdr w:val="none" w:sz="0" w:space="0" w:color="auto" w:frame="1"/>
        </w:rPr>
        <w:t>a subset of hazardous waste comprising materials that are subject to specific regulations. Examples include potentially infectious medical waste (PIMW); other biological waste; sharps waste; asbestos waste; regulated polychlorinated biphenyl (PCB) waste; cutting oils and used oil; paint sludge; equipment cleanings; metallic dust sweepings; used solvents from parts cleaners; and off-specification, contaminated, or recalled wholesale or retail products.</w:t>
      </w:r>
    </w:p>
    <w:p w14:paraId="661853CB" w14:textId="77777777" w:rsidR="00041ACA" w:rsidRPr="00337874" w:rsidRDefault="00041ACA" w:rsidP="00BA780E">
      <w:pPr>
        <w:spacing w:line="264" w:lineRule="auto"/>
        <w:jc w:val="both"/>
        <w:rPr>
          <w:rFonts w:eastAsia="Times New Roman" w:cstheme="minorHAnsi"/>
          <w:szCs w:val="22"/>
          <w:bdr w:val="none" w:sz="0" w:space="0" w:color="auto" w:frame="1"/>
        </w:rPr>
      </w:pPr>
    </w:p>
    <w:p w14:paraId="6C56B8B0" w14:textId="61E4D46B" w:rsidR="000445A5" w:rsidRDefault="00337874" w:rsidP="00BA780E">
      <w:pPr>
        <w:spacing w:line="264" w:lineRule="auto"/>
        <w:jc w:val="both"/>
        <w:rPr>
          <w:rFonts w:eastAsia="Times New Roman" w:cstheme="minorHAnsi"/>
          <w:szCs w:val="22"/>
          <w:bdr w:val="none" w:sz="0" w:space="0" w:color="auto" w:frame="1"/>
        </w:rPr>
      </w:pPr>
      <w:r w:rsidRPr="00041ACA">
        <w:rPr>
          <w:rFonts w:eastAsia="Times New Roman" w:cstheme="minorHAnsi"/>
          <w:b/>
          <w:bCs/>
          <w:szCs w:val="22"/>
          <w:bdr w:val="none" w:sz="0" w:space="0" w:color="auto" w:frame="1"/>
        </w:rPr>
        <w:t>Universal waste</w:t>
      </w:r>
      <w:r w:rsidR="00041ACA">
        <w:rPr>
          <w:rFonts w:eastAsia="Times New Roman" w:cstheme="minorHAnsi"/>
          <w:b/>
          <w:bCs/>
          <w:szCs w:val="22"/>
          <w:bdr w:val="none" w:sz="0" w:space="0" w:color="auto" w:frame="1"/>
        </w:rPr>
        <w:t xml:space="preserve"> </w:t>
      </w:r>
      <w:r w:rsidR="00041ACA" w:rsidRPr="00041ACA">
        <w:rPr>
          <w:rFonts w:eastAsia="Times New Roman" w:cstheme="minorHAnsi"/>
          <w:szCs w:val="22"/>
          <w:bdr w:val="none" w:sz="0" w:space="0" w:color="auto" w:frame="1"/>
        </w:rPr>
        <w:t>is</w:t>
      </w:r>
      <w:r w:rsidRPr="00337874">
        <w:rPr>
          <w:rFonts w:eastAsia="Times New Roman" w:cstheme="minorHAnsi"/>
          <w:szCs w:val="22"/>
          <w:bdr w:val="none" w:sz="0" w:space="0" w:color="auto" w:frame="1"/>
        </w:rPr>
        <w:t xml:space="preserve"> a category of waste materials designated as </w:t>
      </w:r>
      <w:r w:rsidR="0080010A" w:rsidRPr="00337874">
        <w:rPr>
          <w:rFonts w:eastAsia="Times New Roman" w:cstheme="minorHAnsi"/>
          <w:szCs w:val="22"/>
          <w:bdr w:val="none" w:sz="0" w:space="0" w:color="auto" w:frame="1"/>
        </w:rPr>
        <w:t>hazardous but</w:t>
      </w:r>
      <w:r w:rsidRPr="00337874">
        <w:rPr>
          <w:rFonts w:eastAsia="Times New Roman" w:cstheme="minorHAnsi"/>
          <w:szCs w:val="22"/>
          <w:bdr w:val="none" w:sz="0" w:space="0" w:color="auto" w:frame="1"/>
        </w:rPr>
        <w:t xml:space="preserve"> containing materials that are common or widely generated in the environment. </w:t>
      </w:r>
      <w:r w:rsidR="000D7412" w:rsidRPr="000D7412">
        <w:rPr>
          <w:rFonts w:eastAsia="Times New Roman" w:cstheme="minorHAnsi"/>
          <w:szCs w:val="22"/>
          <w:bdr w:val="none" w:sz="0" w:space="0" w:color="auto" w:frame="1"/>
        </w:rPr>
        <w:t>Universal waste includes batteries, pesticides, lamps, thermostats, and other mercury-containing equipment.</w:t>
      </w:r>
    </w:p>
    <w:p w14:paraId="2DE8477A" w14:textId="77777777" w:rsidR="000D7412" w:rsidRDefault="000D7412" w:rsidP="00BA780E">
      <w:pPr>
        <w:jc w:val="both"/>
      </w:pPr>
    </w:p>
    <w:p w14:paraId="68CF7FE3" w14:textId="77777777" w:rsidR="00364FE2" w:rsidRPr="00811A40" w:rsidRDefault="00364FE2" w:rsidP="00BA780E">
      <w:pPr>
        <w:jc w:val="both"/>
      </w:pPr>
    </w:p>
    <w:p w14:paraId="32B6F591" w14:textId="77777777" w:rsidR="00D24A2F" w:rsidRPr="00E00754" w:rsidRDefault="00D24A2F" w:rsidP="00BA780E">
      <w:pPr>
        <w:pStyle w:val="Heading4"/>
        <w:pBdr>
          <w:bottom w:val="single" w:sz="6" w:space="1" w:color="auto"/>
        </w:pBdr>
        <w:jc w:val="both"/>
        <w:rPr>
          <w:bCs/>
          <w:szCs w:val="22"/>
        </w:rPr>
      </w:pPr>
      <w:r>
        <w:rPr>
          <w:bCs/>
          <w:szCs w:val="22"/>
        </w:rPr>
        <w:t>IV.</w:t>
      </w:r>
      <w:r>
        <w:rPr>
          <w:bCs/>
          <w:szCs w:val="22"/>
        </w:rPr>
        <w:tab/>
      </w:r>
      <w:r w:rsidRPr="00E00754">
        <w:rPr>
          <w:bCs/>
          <w:szCs w:val="22"/>
        </w:rPr>
        <w:t>Policy and Procedures</w:t>
      </w:r>
    </w:p>
    <w:p w14:paraId="0193F829" w14:textId="24A3E356" w:rsidR="007835AC" w:rsidRDefault="007835AC" w:rsidP="00BA780E">
      <w:pPr>
        <w:spacing w:after="6" w:line="242" w:lineRule="auto"/>
        <w:jc w:val="both"/>
      </w:pPr>
    </w:p>
    <w:p w14:paraId="6E5B024E" w14:textId="77777777" w:rsidR="000D7412" w:rsidRPr="000D7412" w:rsidRDefault="000D7412" w:rsidP="00BA780E">
      <w:pPr>
        <w:spacing w:after="120" w:line="242" w:lineRule="auto"/>
        <w:jc w:val="both"/>
      </w:pPr>
      <w:r w:rsidRPr="000D7412">
        <w:t>I. Waste management requirements</w:t>
      </w:r>
    </w:p>
    <w:p w14:paraId="3474631F" w14:textId="10EE7E69" w:rsidR="000D7412" w:rsidRPr="000D7412" w:rsidRDefault="000D7412" w:rsidP="00BA780E">
      <w:pPr>
        <w:spacing w:line="242" w:lineRule="auto"/>
        <w:ind w:left="432"/>
        <w:jc w:val="both"/>
      </w:pPr>
      <w:r w:rsidRPr="000D7412">
        <w:t xml:space="preserve">Adherence to applicable law and University procedures. All members of the </w:t>
      </w:r>
      <w:r w:rsidR="009C03F7">
        <w:t>University</w:t>
      </w:r>
      <w:r w:rsidRPr="000D7412">
        <w:t xml:space="preserve"> community are expected to handle, store, recycle, and dispose of materials in accordance with applicable law and University procedures, including all laws, regulations, and guidance documents referenced in this policy (see “Related Information” below; unless otherwise noted, the versions of such laws, regulations, and procedures currently in effect are to be followed). Specific guidelines relating to different types of waste are identified below.</w:t>
      </w:r>
    </w:p>
    <w:p w14:paraId="6FF136EE" w14:textId="77777777" w:rsidR="000D7412" w:rsidRDefault="000D7412" w:rsidP="00BA780E">
      <w:pPr>
        <w:spacing w:line="242" w:lineRule="auto"/>
        <w:ind w:left="432"/>
        <w:jc w:val="both"/>
      </w:pPr>
    </w:p>
    <w:p w14:paraId="700B6E9B" w14:textId="0E8FF70C" w:rsidR="000D7412" w:rsidRPr="000D7412" w:rsidRDefault="000D7412" w:rsidP="00BA780E">
      <w:pPr>
        <w:spacing w:line="242" w:lineRule="auto"/>
        <w:ind w:left="432"/>
        <w:jc w:val="both"/>
      </w:pPr>
      <w:r w:rsidRPr="008D7D52">
        <w:t>Municipal solid waste.</w:t>
      </w:r>
      <w:r w:rsidRPr="000D7412">
        <w:t xml:space="preserve"> Waste streams such as non-hazardous wastes, recyclables, food wastes, and construction and demolition debris should be handled pursuant to </w:t>
      </w:r>
      <w:r w:rsidR="009C03F7">
        <w:t>T</w:t>
      </w:r>
      <w:r w:rsidRPr="000D7412">
        <w:t>U’s Recycling Guidelines.</w:t>
      </w:r>
    </w:p>
    <w:p w14:paraId="772680F4" w14:textId="77777777" w:rsidR="000D7412" w:rsidRDefault="000D7412" w:rsidP="00BA780E">
      <w:pPr>
        <w:spacing w:line="242" w:lineRule="auto"/>
        <w:ind w:left="432"/>
        <w:jc w:val="both"/>
      </w:pPr>
    </w:p>
    <w:p w14:paraId="019F220E" w14:textId="2E54A526" w:rsidR="000D7412" w:rsidRPr="000D7412" w:rsidRDefault="000D7412" w:rsidP="00BA780E">
      <w:pPr>
        <w:spacing w:line="242" w:lineRule="auto"/>
        <w:ind w:left="432"/>
        <w:jc w:val="both"/>
      </w:pPr>
      <w:r w:rsidRPr="008D7D52">
        <w:t>Electronic waste.</w:t>
      </w:r>
      <w:r w:rsidRPr="000D7412">
        <w:t xml:space="preserve"> Illinois law bans most forms of electronic waste from landfills in the state. All University-owned electronic waste will be recycled through Facilities Management’s E-Cycling Program and consistent with </w:t>
      </w:r>
      <w:r w:rsidR="00797EBD">
        <w:t>T</w:t>
      </w:r>
      <w:r w:rsidRPr="000D7412">
        <w:t>U’s Recycling Guidelines.</w:t>
      </w:r>
    </w:p>
    <w:p w14:paraId="6D941418" w14:textId="77777777" w:rsidR="000D7412" w:rsidRDefault="000D7412" w:rsidP="00BA780E">
      <w:pPr>
        <w:spacing w:line="242" w:lineRule="auto"/>
        <w:ind w:left="432"/>
        <w:jc w:val="both"/>
      </w:pPr>
    </w:p>
    <w:p w14:paraId="3C2CEE45" w14:textId="1D306B92" w:rsidR="000D7412" w:rsidRDefault="000D7412" w:rsidP="00BA780E">
      <w:pPr>
        <w:spacing w:line="242" w:lineRule="auto"/>
        <w:ind w:left="432"/>
        <w:jc w:val="both"/>
      </w:pPr>
      <w:r w:rsidRPr="000D7412">
        <w:t xml:space="preserve">Additionally, </w:t>
      </w:r>
      <w:r w:rsidR="0057433C" w:rsidRPr="008D7D52">
        <w:t>specially regulated</w:t>
      </w:r>
      <w:r w:rsidRPr="008D7D52">
        <w:t xml:space="preserve"> waste</w:t>
      </w:r>
      <w:r w:rsidRPr="000D7412">
        <w:t xml:space="preserve"> must be labeled, handled, stored, and disposed consistent with any additional applicable laws, regulations, or University guidelines applicable to the management and disposal of biological/infectious, radioactive, and sharps waste.</w:t>
      </w:r>
    </w:p>
    <w:p w14:paraId="36816AC0" w14:textId="77777777" w:rsidR="000D7412" w:rsidRPr="000D7412" w:rsidRDefault="000D7412" w:rsidP="00BA780E">
      <w:pPr>
        <w:spacing w:after="6" w:line="242" w:lineRule="auto"/>
        <w:jc w:val="both"/>
      </w:pPr>
    </w:p>
    <w:p w14:paraId="61A49959" w14:textId="08A077C3" w:rsidR="000D7412" w:rsidRDefault="000D7412" w:rsidP="00BA780E">
      <w:pPr>
        <w:spacing w:after="6" w:line="242" w:lineRule="auto"/>
        <w:ind w:left="432"/>
        <w:jc w:val="both"/>
      </w:pPr>
      <w:r w:rsidRPr="008D7D52">
        <w:lastRenderedPageBreak/>
        <w:t>Universal waste.</w:t>
      </w:r>
      <w:r w:rsidRPr="000D7412">
        <w:t xml:space="preserve"> Any questions regarding the categorization of different types of waste or the guidelines applicable to their management and disposal should be directed to either </w:t>
      </w:r>
      <w:r w:rsidR="006A37A3" w:rsidRPr="006A37A3">
        <w:t>compliance@utulsa.edu</w:t>
      </w:r>
      <w:r w:rsidRPr="000D7412">
        <w:t xml:space="preserve">, or the Director of Environmental Health and Safety in the Office of </w:t>
      </w:r>
      <w:r w:rsidR="006A37A3">
        <w:t>Compliance.</w:t>
      </w:r>
    </w:p>
    <w:p w14:paraId="1AF554DE" w14:textId="77777777" w:rsidR="000D7412" w:rsidRPr="000D7412" w:rsidRDefault="000D7412" w:rsidP="00BA780E">
      <w:pPr>
        <w:spacing w:after="6" w:line="242" w:lineRule="auto"/>
        <w:jc w:val="both"/>
      </w:pPr>
    </w:p>
    <w:p w14:paraId="029BCC12" w14:textId="77777777" w:rsidR="000D7412" w:rsidRDefault="000D7412" w:rsidP="00BA780E">
      <w:pPr>
        <w:spacing w:after="6" w:line="242" w:lineRule="auto"/>
        <w:jc w:val="both"/>
      </w:pPr>
      <w:r w:rsidRPr="000D7412">
        <w:t>II. Implementation responsibilities</w:t>
      </w:r>
    </w:p>
    <w:p w14:paraId="478D3760" w14:textId="77777777" w:rsidR="000D7412" w:rsidRPr="000D7412" w:rsidRDefault="000D7412" w:rsidP="00BA780E">
      <w:pPr>
        <w:spacing w:after="6" w:line="242" w:lineRule="auto"/>
        <w:jc w:val="both"/>
      </w:pPr>
    </w:p>
    <w:p w14:paraId="2DF06EC2" w14:textId="19044142" w:rsidR="000D7412" w:rsidRPr="000D7412" w:rsidRDefault="000D7412" w:rsidP="00BA780E">
      <w:pPr>
        <w:pStyle w:val="ListParagraph"/>
        <w:numPr>
          <w:ilvl w:val="0"/>
          <w:numId w:val="23"/>
        </w:numPr>
        <w:spacing w:line="242" w:lineRule="auto"/>
        <w:contextualSpacing w:val="0"/>
        <w:jc w:val="both"/>
      </w:pPr>
      <w:r w:rsidRPr="000D7412">
        <w:t>Department and vendor leaders are responsible for:</w:t>
      </w:r>
    </w:p>
    <w:p w14:paraId="7BD5E65C" w14:textId="375135D3" w:rsidR="000D7412" w:rsidRPr="000D7412" w:rsidRDefault="000D7412" w:rsidP="00BA780E">
      <w:pPr>
        <w:pStyle w:val="ListParagraph"/>
        <w:numPr>
          <w:ilvl w:val="0"/>
          <w:numId w:val="24"/>
        </w:numPr>
        <w:spacing w:after="6" w:line="242" w:lineRule="auto"/>
        <w:ind w:left="1368"/>
        <w:jc w:val="both"/>
      </w:pPr>
      <w:r w:rsidRPr="000D7412">
        <w:t xml:space="preserve">Reviewing operations to determine where waste can be reduced at its sources of </w:t>
      </w:r>
      <w:r w:rsidR="006A37A3" w:rsidRPr="000D7412">
        <w:t>generation.</w:t>
      </w:r>
    </w:p>
    <w:p w14:paraId="57F35F1E" w14:textId="022EA61F" w:rsidR="000D7412" w:rsidRPr="000D7412" w:rsidRDefault="000D7412" w:rsidP="00BA780E">
      <w:pPr>
        <w:pStyle w:val="ListParagraph"/>
        <w:numPr>
          <w:ilvl w:val="0"/>
          <w:numId w:val="24"/>
        </w:numPr>
        <w:spacing w:after="6" w:line="242" w:lineRule="auto"/>
        <w:ind w:left="1368"/>
        <w:jc w:val="both"/>
      </w:pPr>
      <w:r w:rsidRPr="000D7412">
        <w:t xml:space="preserve">Acquiring, to the extent feasible and practicable, items that are durable, have minimal packaging, or are readily recyclable when </w:t>
      </w:r>
      <w:r w:rsidR="006A37A3" w:rsidRPr="000D7412">
        <w:t>discarded.</w:t>
      </w:r>
    </w:p>
    <w:p w14:paraId="2E94D9F1" w14:textId="0504EEB8" w:rsidR="000D7412" w:rsidRPr="000D7412" w:rsidRDefault="000D7412" w:rsidP="00BA780E">
      <w:pPr>
        <w:pStyle w:val="ListParagraph"/>
        <w:numPr>
          <w:ilvl w:val="0"/>
          <w:numId w:val="24"/>
        </w:numPr>
        <w:spacing w:after="6" w:line="242" w:lineRule="auto"/>
        <w:ind w:left="1368"/>
        <w:jc w:val="both"/>
      </w:pPr>
      <w:r w:rsidRPr="000D7412">
        <w:t xml:space="preserve">Assessing purchasing decisions, making every attempt to purchase items only when needed and in amounts that are not </w:t>
      </w:r>
      <w:r w:rsidR="006A37A3" w:rsidRPr="000D7412">
        <w:t>excessive.</w:t>
      </w:r>
    </w:p>
    <w:p w14:paraId="1B58AFE5" w14:textId="2537BFAC" w:rsidR="000D7412" w:rsidRPr="000D7412" w:rsidRDefault="000D7412" w:rsidP="00BA780E">
      <w:pPr>
        <w:pStyle w:val="ListParagraph"/>
        <w:numPr>
          <w:ilvl w:val="0"/>
          <w:numId w:val="24"/>
        </w:numPr>
        <w:spacing w:after="6" w:line="242" w:lineRule="auto"/>
        <w:ind w:left="1368"/>
        <w:jc w:val="both"/>
      </w:pPr>
      <w:r w:rsidRPr="000D7412">
        <w:t>Ensuring employees have access to compliant waste containers, including containers for recycling; and</w:t>
      </w:r>
      <w:r w:rsidR="006A37A3">
        <w:t xml:space="preserve"> a</w:t>
      </w:r>
      <w:r w:rsidRPr="000D7412">
        <w:t xml:space="preserve">ssuring only trained and certified employees, students, and vendors generate and label </w:t>
      </w:r>
      <w:r w:rsidR="004F18F5" w:rsidRPr="000D7412">
        <w:t>specially regulated</w:t>
      </w:r>
      <w:r w:rsidRPr="000D7412">
        <w:t xml:space="preserve"> or hazardous wastes.</w:t>
      </w:r>
    </w:p>
    <w:p w14:paraId="3460A96D" w14:textId="2497EC16" w:rsidR="000D7412" w:rsidRPr="000D7412" w:rsidRDefault="00623B53" w:rsidP="00BA780E">
      <w:pPr>
        <w:pStyle w:val="ListParagraph"/>
        <w:numPr>
          <w:ilvl w:val="0"/>
          <w:numId w:val="23"/>
        </w:numPr>
        <w:spacing w:before="240" w:line="242" w:lineRule="auto"/>
        <w:contextualSpacing w:val="0"/>
        <w:jc w:val="both"/>
      </w:pPr>
      <w:r>
        <w:t>University</w:t>
      </w:r>
      <w:r w:rsidR="000D7412" w:rsidRPr="000D7412">
        <w:t xml:space="preserve"> faculty, staff, students, and vendor personnel are responsible for:</w:t>
      </w:r>
    </w:p>
    <w:p w14:paraId="7B508E24" w14:textId="1D1BD611" w:rsidR="000D7412" w:rsidRPr="000D7412" w:rsidRDefault="000D7412" w:rsidP="00BA780E">
      <w:pPr>
        <w:pStyle w:val="ListParagraph"/>
        <w:numPr>
          <w:ilvl w:val="0"/>
          <w:numId w:val="25"/>
        </w:numPr>
        <w:spacing w:after="6" w:line="242" w:lineRule="auto"/>
        <w:ind w:left="1368"/>
        <w:jc w:val="both"/>
      </w:pPr>
      <w:r w:rsidRPr="000D7412">
        <w:t>Separating defined waste types and placing identified waste materials in the appropriate containers; and</w:t>
      </w:r>
    </w:p>
    <w:p w14:paraId="5C69E939" w14:textId="41B06449" w:rsidR="000D7412" w:rsidRPr="000D7412" w:rsidRDefault="000D7412" w:rsidP="00BA780E">
      <w:pPr>
        <w:pStyle w:val="ListParagraph"/>
        <w:numPr>
          <w:ilvl w:val="0"/>
          <w:numId w:val="25"/>
        </w:numPr>
        <w:spacing w:after="6" w:line="242" w:lineRule="auto"/>
        <w:ind w:left="1368"/>
        <w:jc w:val="both"/>
      </w:pPr>
      <w:r w:rsidRPr="000D7412">
        <w:t xml:space="preserve">Handling </w:t>
      </w:r>
      <w:r w:rsidR="00D62757" w:rsidRPr="000D7412">
        <w:t>specially regulated</w:t>
      </w:r>
      <w:r w:rsidRPr="000D7412">
        <w:t xml:space="preserve"> or hazardous wastes only if trained to do so.</w:t>
      </w:r>
    </w:p>
    <w:p w14:paraId="37EF28F3" w14:textId="30800C9E" w:rsidR="000D7412" w:rsidRPr="000D7412" w:rsidRDefault="00D62757" w:rsidP="00BA780E">
      <w:pPr>
        <w:pStyle w:val="ListParagraph"/>
        <w:numPr>
          <w:ilvl w:val="0"/>
          <w:numId w:val="23"/>
        </w:numPr>
        <w:spacing w:before="240" w:line="242" w:lineRule="auto"/>
        <w:contextualSpacing w:val="0"/>
        <w:jc w:val="both"/>
      </w:pPr>
      <w:r>
        <w:t>The University’s</w:t>
      </w:r>
      <w:r w:rsidR="000D7412" w:rsidRPr="000D7412">
        <w:t xml:space="preserve"> Office of Facilities Management is responsible for:</w:t>
      </w:r>
    </w:p>
    <w:p w14:paraId="6D02B2DD" w14:textId="4CAAE9F5" w:rsidR="000D7412" w:rsidRPr="000D7412" w:rsidRDefault="000D7412" w:rsidP="00BA780E">
      <w:pPr>
        <w:pStyle w:val="ListParagraph"/>
        <w:numPr>
          <w:ilvl w:val="0"/>
          <w:numId w:val="27"/>
        </w:numPr>
        <w:spacing w:after="6" w:line="242" w:lineRule="auto"/>
        <w:ind w:left="1368"/>
        <w:jc w:val="both"/>
      </w:pPr>
      <w:r w:rsidRPr="000D7412">
        <w:t xml:space="preserve">Establishing policies for the management of construction and demolition and executing construction and demolition contracts that include specific construction debris recycling </w:t>
      </w:r>
      <w:r w:rsidR="00623B53" w:rsidRPr="000D7412">
        <w:t>targets.</w:t>
      </w:r>
    </w:p>
    <w:p w14:paraId="1B94B828" w14:textId="6B9D9DE7" w:rsidR="000D7412" w:rsidRPr="000D7412" w:rsidRDefault="000D7412" w:rsidP="00BA780E">
      <w:pPr>
        <w:pStyle w:val="ListParagraph"/>
        <w:numPr>
          <w:ilvl w:val="0"/>
          <w:numId w:val="27"/>
        </w:numPr>
        <w:spacing w:after="6" w:line="242" w:lineRule="auto"/>
        <w:ind w:left="1368"/>
        <w:jc w:val="both"/>
      </w:pPr>
      <w:r w:rsidRPr="000D7412">
        <w:t xml:space="preserve">Facilitating the removal of regulated refrigerants from refrigerators and freezers and maintaining the pertinent records required by law or </w:t>
      </w:r>
      <w:r w:rsidR="00623B53" w:rsidRPr="000D7412">
        <w:t>regulation.</w:t>
      </w:r>
    </w:p>
    <w:p w14:paraId="73F9F3B9" w14:textId="0FEF63B2" w:rsidR="000D7412" w:rsidRPr="000D7412" w:rsidRDefault="000D7412" w:rsidP="00BA780E">
      <w:pPr>
        <w:pStyle w:val="ListParagraph"/>
        <w:numPr>
          <w:ilvl w:val="0"/>
          <w:numId w:val="27"/>
        </w:numPr>
        <w:spacing w:after="6" w:line="242" w:lineRule="auto"/>
        <w:ind w:left="1368"/>
        <w:jc w:val="both"/>
      </w:pPr>
      <w:r w:rsidRPr="000D7412">
        <w:t xml:space="preserve">Managing collection areas for the drop-off of universal waste in each </w:t>
      </w:r>
      <w:r w:rsidR="00623B53" w:rsidRPr="000D7412">
        <w:t>building.</w:t>
      </w:r>
    </w:p>
    <w:p w14:paraId="5707EBBA" w14:textId="7C404990" w:rsidR="000D7412" w:rsidRPr="000D7412" w:rsidRDefault="000D7412" w:rsidP="00BA780E">
      <w:pPr>
        <w:pStyle w:val="ListParagraph"/>
        <w:numPr>
          <w:ilvl w:val="0"/>
          <w:numId w:val="27"/>
        </w:numPr>
        <w:spacing w:after="6" w:line="242" w:lineRule="auto"/>
        <w:ind w:left="1368"/>
        <w:jc w:val="both"/>
      </w:pPr>
      <w:r w:rsidRPr="000D7412">
        <w:t>Providing standard trash containers</w:t>
      </w:r>
      <w:r w:rsidR="004F18F5">
        <w:t>.</w:t>
      </w:r>
    </w:p>
    <w:p w14:paraId="62DAE6C7" w14:textId="0570FF5F" w:rsidR="00370DFC" w:rsidRDefault="000D7412" w:rsidP="00BA780E">
      <w:pPr>
        <w:pStyle w:val="ListParagraph"/>
        <w:numPr>
          <w:ilvl w:val="0"/>
          <w:numId w:val="27"/>
        </w:numPr>
        <w:spacing w:after="6" w:line="242" w:lineRule="auto"/>
        <w:ind w:left="1368"/>
        <w:jc w:val="both"/>
      </w:pPr>
      <w:r w:rsidRPr="000D7412">
        <w:t>Maintaining contracts with custodial service providers responsible for collecting non-regulated waste</w:t>
      </w:r>
      <w:r w:rsidR="00E3543F">
        <w:t>.</w:t>
      </w:r>
    </w:p>
    <w:p w14:paraId="65EB3195" w14:textId="6D6637A1" w:rsidR="000D7412" w:rsidRPr="000D7412" w:rsidRDefault="000D7412" w:rsidP="00BA780E">
      <w:pPr>
        <w:spacing w:after="6" w:line="242" w:lineRule="auto"/>
        <w:jc w:val="both"/>
      </w:pPr>
    </w:p>
    <w:p w14:paraId="77905861" w14:textId="77777777" w:rsidR="00C769A0" w:rsidRPr="000D7412" w:rsidRDefault="00C769A0" w:rsidP="00BA780E">
      <w:pPr>
        <w:spacing w:after="6" w:line="242" w:lineRule="auto"/>
        <w:jc w:val="both"/>
      </w:pPr>
    </w:p>
    <w:p w14:paraId="646FEB1F" w14:textId="3D5BD2A0" w:rsidR="00D24A2F" w:rsidRPr="00F71B37" w:rsidRDefault="00D24A2F" w:rsidP="00BA780E">
      <w:pPr>
        <w:jc w:val="both"/>
      </w:pPr>
      <w:r w:rsidRPr="00F71B37">
        <w:t>This Policy is approved by the undersigned and effective as of the date written below. </w:t>
      </w:r>
    </w:p>
    <w:p w14:paraId="349BF75A" w14:textId="77777777" w:rsidR="00D24A2F" w:rsidRDefault="00D24A2F" w:rsidP="00BA780E">
      <w:pPr>
        <w:jc w:val="both"/>
      </w:pPr>
    </w:p>
    <w:p w14:paraId="5E6D1188" w14:textId="77777777" w:rsidR="00D24A2F" w:rsidRDefault="00D24A2F" w:rsidP="00BA780E">
      <w:pPr>
        <w:jc w:val="both"/>
      </w:pPr>
    </w:p>
    <w:p w14:paraId="19468672" w14:textId="77777777" w:rsidR="00D24A2F" w:rsidRPr="00F71B37" w:rsidRDefault="00D24A2F" w:rsidP="00BA780E">
      <w:pPr>
        <w:jc w:val="both"/>
      </w:pPr>
      <w:r w:rsidRPr="00F71B37">
        <w:t>Approved: </w:t>
      </w:r>
    </w:p>
    <w:p w14:paraId="41A07671" w14:textId="77777777" w:rsidR="00D24A2F" w:rsidRPr="00F71B37" w:rsidRDefault="00D24A2F" w:rsidP="00BA780E">
      <w:pPr>
        <w:jc w:val="both"/>
      </w:pPr>
      <w:r w:rsidRPr="00F71B37">
        <w:t> </w:t>
      </w:r>
    </w:p>
    <w:p w14:paraId="374E6997" w14:textId="77777777" w:rsidR="0051335A" w:rsidRDefault="00D24A2F" w:rsidP="00BA780E">
      <w:pPr>
        <w:jc w:val="both"/>
      </w:pPr>
      <w:r w:rsidRPr="00F71B37">
        <w:t> </w:t>
      </w:r>
      <w:r w:rsidRPr="00F71B37">
        <w:br/>
      </w:r>
      <w:r w:rsidR="0051335A">
        <w:t>Matt Warren, Vice President and CCO</w:t>
      </w:r>
      <w:r w:rsidRPr="00F71B37">
        <w:t> </w:t>
      </w:r>
    </w:p>
    <w:p w14:paraId="43EC9B47" w14:textId="7084F240" w:rsidR="00D24A2F" w:rsidRPr="00F71B37" w:rsidRDefault="00D24A2F" w:rsidP="00BA780E">
      <w:pPr>
        <w:jc w:val="both"/>
      </w:pPr>
      <w:r w:rsidRPr="00F71B37">
        <w:br/>
        <w:t>Date Effective:  </w:t>
      </w:r>
      <w:r w:rsidR="0051335A">
        <w:t>11/8/2022</w:t>
      </w:r>
    </w:p>
    <w:p w14:paraId="670DBE8B" w14:textId="77777777" w:rsidR="00D24A2F" w:rsidRDefault="00D24A2F" w:rsidP="00BA780E">
      <w:pPr>
        <w:jc w:val="both"/>
      </w:pPr>
    </w:p>
    <w:p w14:paraId="4AE60EA0" w14:textId="77777777" w:rsidR="00D24A2F" w:rsidRPr="00726CA3" w:rsidRDefault="00D24A2F" w:rsidP="00BA780E">
      <w:pPr>
        <w:pStyle w:val="ListBullet"/>
        <w:numPr>
          <w:ilvl w:val="0"/>
          <w:numId w:val="0"/>
        </w:numPr>
        <w:pBdr>
          <w:bottom w:val="single" w:sz="6" w:space="1" w:color="auto"/>
        </w:pBdr>
        <w:jc w:val="both"/>
        <w:rPr>
          <w:b/>
          <w:sz w:val="22"/>
          <w:szCs w:val="22"/>
        </w:rPr>
      </w:pPr>
      <w:r w:rsidRPr="00726CA3">
        <w:rPr>
          <w:b/>
          <w:sz w:val="22"/>
          <w:szCs w:val="22"/>
        </w:rPr>
        <w:lastRenderedPageBreak/>
        <w:t>Revision</w:t>
      </w:r>
      <w:r>
        <w:rPr>
          <w:b/>
          <w:sz w:val="22"/>
          <w:szCs w:val="22"/>
        </w:rPr>
        <w:t xml:space="preserve"> Record</w:t>
      </w:r>
    </w:p>
    <w:p w14:paraId="76CBE4A4" w14:textId="77777777" w:rsidR="00D24A2F" w:rsidRDefault="00D24A2F" w:rsidP="00D24A2F">
      <w:pPr>
        <w:rPr>
          <w:b/>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1080"/>
        <w:gridCol w:w="6569"/>
      </w:tblGrid>
      <w:tr w:rsidR="00D24A2F" w14:paraId="21FB6132" w14:textId="77777777" w:rsidTr="00B84F5E">
        <w:tc>
          <w:tcPr>
            <w:tcW w:w="1255" w:type="dxa"/>
          </w:tcPr>
          <w:p w14:paraId="070F6397" w14:textId="77777777" w:rsidR="00D24A2F" w:rsidRPr="0007100F" w:rsidRDefault="00D24A2F" w:rsidP="00B84F5E">
            <w:pPr>
              <w:pStyle w:val="Heading4"/>
              <w:outlineLvl w:val="3"/>
              <w:rPr>
                <w:szCs w:val="22"/>
              </w:rPr>
            </w:pPr>
            <w:r w:rsidRPr="0007100F">
              <w:rPr>
                <w:szCs w:val="22"/>
              </w:rPr>
              <w:t>Date</w:t>
            </w:r>
          </w:p>
        </w:tc>
        <w:tc>
          <w:tcPr>
            <w:tcW w:w="1080" w:type="dxa"/>
          </w:tcPr>
          <w:p w14:paraId="746C3CA4" w14:textId="77777777" w:rsidR="00D24A2F" w:rsidRDefault="00D24A2F" w:rsidP="00B84F5E">
            <w:pPr>
              <w:rPr>
                <w:b/>
                <w:szCs w:val="22"/>
              </w:rPr>
            </w:pPr>
            <w:r>
              <w:rPr>
                <w:b/>
                <w:szCs w:val="22"/>
              </w:rPr>
              <w:t>Version</w:t>
            </w:r>
          </w:p>
        </w:tc>
        <w:tc>
          <w:tcPr>
            <w:tcW w:w="6569" w:type="dxa"/>
          </w:tcPr>
          <w:p w14:paraId="775F66E5" w14:textId="77777777" w:rsidR="00D24A2F" w:rsidRDefault="00D24A2F" w:rsidP="00B84F5E">
            <w:pPr>
              <w:rPr>
                <w:b/>
                <w:szCs w:val="22"/>
              </w:rPr>
            </w:pPr>
            <w:r>
              <w:rPr>
                <w:b/>
                <w:szCs w:val="22"/>
              </w:rPr>
              <w:t>Notes</w:t>
            </w:r>
          </w:p>
        </w:tc>
      </w:tr>
      <w:tr w:rsidR="00D24A2F" w14:paraId="3B6F5437" w14:textId="77777777" w:rsidTr="00B84F5E">
        <w:tc>
          <w:tcPr>
            <w:tcW w:w="1255" w:type="dxa"/>
          </w:tcPr>
          <w:p w14:paraId="43CC7456" w14:textId="0FE34296" w:rsidR="00D24A2F" w:rsidRPr="0007100F" w:rsidRDefault="0051335A" w:rsidP="00B84F5E">
            <w:pPr>
              <w:pStyle w:val="Heading4"/>
              <w:outlineLvl w:val="3"/>
              <w:rPr>
                <w:b w:val="0"/>
                <w:szCs w:val="22"/>
              </w:rPr>
            </w:pPr>
            <w:r>
              <w:rPr>
                <w:b w:val="0"/>
                <w:szCs w:val="22"/>
              </w:rPr>
              <w:t>11/8/2022</w:t>
            </w:r>
          </w:p>
        </w:tc>
        <w:tc>
          <w:tcPr>
            <w:tcW w:w="1080" w:type="dxa"/>
          </w:tcPr>
          <w:p w14:paraId="1597D16D" w14:textId="48375176" w:rsidR="00D24A2F" w:rsidRPr="00162EFC" w:rsidRDefault="0051335A" w:rsidP="00B84F5E">
            <w:pPr>
              <w:pStyle w:val="Header"/>
              <w:tabs>
                <w:tab w:val="clear" w:pos="4320"/>
                <w:tab w:val="clear" w:pos="8640"/>
              </w:tabs>
              <w:rPr>
                <w:szCs w:val="22"/>
              </w:rPr>
            </w:pPr>
            <w:r>
              <w:rPr>
                <w:szCs w:val="22"/>
              </w:rPr>
              <w:t>Original</w:t>
            </w:r>
          </w:p>
        </w:tc>
        <w:tc>
          <w:tcPr>
            <w:tcW w:w="6569" w:type="dxa"/>
          </w:tcPr>
          <w:p w14:paraId="7C49EF54" w14:textId="65027F7E" w:rsidR="00D24A2F" w:rsidRPr="0007100F" w:rsidRDefault="00FC0775" w:rsidP="00B84F5E">
            <w:pPr>
              <w:rPr>
                <w:szCs w:val="22"/>
              </w:rPr>
            </w:pPr>
            <w:r>
              <w:rPr>
                <w:szCs w:val="22"/>
              </w:rPr>
              <w:t>N/A</w:t>
            </w:r>
          </w:p>
        </w:tc>
      </w:tr>
    </w:tbl>
    <w:p w14:paraId="38FE8EA2" w14:textId="77777777" w:rsidR="00D24A2F" w:rsidRPr="004D2E31" w:rsidRDefault="00D24A2F" w:rsidP="00D24A2F">
      <w:pPr>
        <w:pStyle w:val="Header"/>
        <w:tabs>
          <w:tab w:val="clear" w:pos="4320"/>
          <w:tab w:val="clear" w:pos="8640"/>
          <w:tab w:val="left" w:pos="720"/>
        </w:tabs>
        <w:rPr>
          <w:rFonts w:ascii="Times New Roman" w:hAnsi="Times New Roman" w:cs="Times New Roman"/>
        </w:rPr>
      </w:pPr>
    </w:p>
    <w:p w14:paraId="18B2AFBA" w14:textId="77777777" w:rsidR="00D24A2F" w:rsidRDefault="00D24A2F" w:rsidP="00D24A2F">
      <w:pPr>
        <w:pStyle w:val="Header"/>
        <w:rPr>
          <w:rFonts w:ascii="Times New Roman" w:hAnsi="Times New Roman" w:cs="Times New Roman"/>
          <w:i/>
          <w:iCs/>
        </w:rPr>
      </w:pPr>
    </w:p>
    <w:p w14:paraId="363C48FF" w14:textId="3520D652" w:rsidR="003B2F76" w:rsidRPr="00D771F3" w:rsidRDefault="00D24A2F" w:rsidP="00D771F3">
      <w:pPr>
        <w:pStyle w:val="Header"/>
        <w:rPr>
          <w:rFonts w:ascii="Times New Roman" w:hAnsi="Times New Roman" w:cs="Times New Roman"/>
          <w:i/>
          <w:iCs/>
        </w:rPr>
      </w:pPr>
      <w:r w:rsidRPr="00272016">
        <w:rPr>
          <w:rFonts w:ascii="Times New Roman" w:hAnsi="Times New Roman" w:cs="Times New Roman"/>
          <w:i/>
          <w:iCs/>
        </w:rPr>
        <w:t>T</w:t>
      </w:r>
      <w:r w:rsidRPr="26A81646">
        <w:rPr>
          <w:rFonts w:ascii="Times New Roman" w:hAnsi="Times New Roman" w:cs="Times New Roman"/>
          <w:i/>
          <w:iCs/>
        </w:rPr>
        <w:t>his policy is not a contract.  The University of Tulsa reserves the right to modify, revise, rescind or grant exceptions to this policy.</w:t>
      </w:r>
    </w:p>
    <w:sectPr w:rsidR="003B2F76" w:rsidRPr="00D771F3" w:rsidSect="00332CCB">
      <w:headerReference w:type="default" r:id="rId10"/>
      <w:headerReference w:type="first" r:id="rId11"/>
      <w:footerReference w:type="first" r:id="rId12"/>
      <w:pgSz w:w="12240" w:h="15840"/>
      <w:pgMar w:top="2070" w:right="1526" w:bottom="1440" w:left="180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D5A2B" w14:textId="77777777" w:rsidR="00C04486" w:rsidRDefault="00C04486" w:rsidP="00D24A2F">
      <w:r>
        <w:separator/>
      </w:r>
    </w:p>
  </w:endnote>
  <w:endnote w:type="continuationSeparator" w:id="0">
    <w:p w14:paraId="3AA8CD2A" w14:textId="77777777" w:rsidR="00C04486" w:rsidRDefault="00C04486" w:rsidP="00D24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71"/>
      <w:gridCol w:w="2971"/>
      <w:gridCol w:w="2971"/>
    </w:tblGrid>
    <w:tr w:rsidR="5721A31E" w14:paraId="56945735" w14:textId="77777777" w:rsidTr="5721A31E">
      <w:tc>
        <w:tcPr>
          <w:tcW w:w="2971" w:type="dxa"/>
        </w:tcPr>
        <w:p w14:paraId="595E868B" w14:textId="77777777" w:rsidR="5721A31E" w:rsidRDefault="00744895" w:rsidP="5721A31E">
          <w:pPr>
            <w:pStyle w:val="Header"/>
            <w:ind w:left="-115"/>
          </w:pPr>
        </w:p>
      </w:tc>
      <w:tc>
        <w:tcPr>
          <w:tcW w:w="2971" w:type="dxa"/>
        </w:tcPr>
        <w:p w14:paraId="1A5C590A" w14:textId="77777777" w:rsidR="5721A31E" w:rsidRDefault="00744895" w:rsidP="5721A31E">
          <w:pPr>
            <w:pStyle w:val="Header"/>
            <w:jc w:val="center"/>
          </w:pPr>
        </w:p>
      </w:tc>
      <w:tc>
        <w:tcPr>
          <w:tcW w:w="2971" w:type="dxa"/>
        </w:tcPr>
        <w:p w14:paraId="63D0A69A" w14:textId="77777777" w:rsidR="5721A31E" w:rsidRDefault="00744895" w:rsidP="5721A31E">
          <w:pPr>
            <w:pStyle w:val="Header"/>
            <w:ind w:right="-115"/>
            <w:jc w:val="right"/>
          </w:pPr>
        </w:p>
      </w:tc>
    </w:tr>
  </w:tbl>
  <w:p w14:paraId="13E2705C" w14:textId="77777777" w:rsidR="5721A31E" w:rsidRDefault="00744895" w:rsidP="5721A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E233F" w14:textId="77777777" w:rsidR="00C04486" w:rsidRDefault="00C04486" w:rsidP="00D24A2F">
      <w:r>
        <w:separator/>
      </w:r>
    </w:p>
  </w:footnote>
  <w:footnote w:type="continuationSeparator" w:id="0">
    <w:p w14:paraId="1828D730" w14:textId="77777777" w:rsidR="00C04486" w:rsidRDefault="00C04486" w:rsidP="00D24A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71"/>
      <w:gridCol w:w="2971"/>
      <w:gridCol w:w="2971"/>
    </w:tblGrid>
    <w:tr w:rsidR="5721A31E" w14:paraId="4920C492" w14:textId="77777777" w:rsidTr="5721A31E">
      <w:tc>
        <w:tcPr>
          <w:tcW w:w="2971" w:type="dxa"/>
        </w:tcPr>
        <w:p w14:paraId="5E813303" w14:textId="77777777" w:rsidR="5721A31E" w:rsidRDefault="00744895" w:rsidP="5721A31E">
          <w:pPr>
            <w:pStyle w:val="Header"/>
            <w:ind w:left="-115"/>
          </w:pPr>
        </w:p>
      </w:tc>
      <w:tc>
        <w:tcPr>
          <w:tcW w:w="2971" w:type="dxa"/>
        </w:tcPr>
        <w:p w14:paraId="1D8EF234" w14:textId="77777777" w:rsidR="5721A31E" w:rsidRDefault="00744895" w:rsidP="5721A31E">
          <w:pPr>
            <w:pStyle w:val="Header"/>
            <w:jc w:val="center"/>
          </w:pPr>
        </w:p>
      </w:tc>
      <w:tc>
        <w:tcPr>
          <w:tcW w:w="2971" w:type="dxa"/>
        </w:tcPr>
        <w:p w14:paraId="0FEE6EE3" w14:textId="77777777" w:rsidR="5721A31E" w:rsidRDefault="00744895" w:rsidP="5721A31E">
          <w:pPr>
            <w:pStyle w:val="Header"/>
            <w:ind w:right="-115"/>
            <w:jc w:val="right"/>
          </w:pPr>
        </w:p>
      </w:tc>
    </w:tr>
  </w:tbl>
  <w:p w14:paraId="0921E12B" w14:textId="77777777" w:rsidR="5721A31E" w:rsidRDefault="00744895" w:rsidP="5721A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7C1F9" w14:textId="2C5930AB" w:rsidR="00D24A2F" w:rsidRDefault="00D24A2F">
    <w:pPr>
      <w:pStyle w:val="Header"/>
    </w:pPr>
    <w:r>
      <w:rPr>
        <w:noProof/>
        <w:color w:val="083065"/>
      </w:rPr>
      <w:drawing>
        <wp:anchor distT="0" distB="0" distL="114300" distR="114300" simplePos="0" relativeHeight="251659264" behindDoc="1" locked="0" layoutInCell="1" allowOverlap="1" wp14:anchorId="74ACE756" wp14:editId="276367DB">
          <wp:simplePos x="0" y="0"/>
          <wp:positionH relativeFrom="column">
            <wp:posOffset>0</wp:posOffset>
          </wp:positionH>
          <wp:positionV relativeFrom="paragraph">
            <wp:posOffset>0</wp:posOffset>
          </wp:positionV>
          <wp:extent cx="6921305" cy="1000072"/>
          <wp:effectExtent l="0" t="0" r="0" b="0"/>
          <wp:wrapNone/>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921305" cy="1000072"/>
                  </a:xfrm>
                  <a:prstGeom prst="rect">
                    <a:avLst/>
                  </a:prstGeom>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47C2D"/>
    <w:multiLevelType w:val="hybridMultilevel"/>
    <w:tmpl w:val="3B082CA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474237"/>
    <w:multiLevelType w:val="multilevel"/>
    <w:tmpl w:val="E1A40D06"/>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 w15:restartNumberingAfterBreak="0">
    <w:nsid w:val="1112033D"/>
    <w:multiLevelType w:val="hybridMultilevel"/>
    <w:tmpl w:val="F68852E0"/>
    <w:lvl w:ilvl="0" w:tplc="B59A4FBA">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A6A97F8">
      <w:start w:val="1"/>
      <w:numFmt w:val="lowerLetter"/>
      <w:lvlText w:val="%2"/>
      <w:lvlJc w:val="left"/>
      <w:pPr>
        <w:ind w:left="10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5DCC0B4">
      <w:start w:val="1"/>
      <w:numFmt w:val="lowerLetter"/>
      <w:lvlRestart w:val="0"/>
      <w:lvlText w:val="%3."/>
      <w:lvlJc w:val="left"/>
      <w:pPr>
        <w:ind w:left="14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3126096">
      <w:start w:val="1"/>
      <w:numFmt w:val="decimal"/>
      <w:lvlText w:val="%4"/>
      <w:lvlJc w:val="left"/>
      <w:pPr>
        <w:ind w:left="25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7608D06">
      <w:start w:val="1"/>
      <w:numFmt w:val="lowerLetter"/>
      <w:lvlText w:val="%5"/>
      <w:lvlJc w:val="left"/>
      <w:pPr>
        <w:ind w:left="32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5C27B3E">
      <w:start w:val="1"/>
      <w:numFmt w:val="lowerRoman"/>
      <w:lvlText w:val="%6"/>
      <w:lvlJc w:val="left"/>
      <w:pPr>
        <w:ind w:left="39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BA0F77C">
      <w:start w:val="1"/>
      <w:numFmt w:val="decimal"/>
      <w:lvlText w:val="%7"/>
      <w:lvlJc w:val="left"/>
      <w:pPr>
        <w:ind w:left="46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5E89202">
      <w:start w:val="1"/>
      <w:numFmt w:val="lowerLetter"/>
      <w:lvlText w:val="%8"/>
      <w:lvlJc w:val="left"/>
      <w:pPr>
        <w:ind w:left="54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BD61CC2">
      <w:start w:val="1"/>
      <w:numFmt w:val="lowerRoman"/>
      <w:lvlText w:val="%9"/>
      <w:lvlJc w:val="left"/>
      <w:pPr>
        <w:ind w:left="61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D5A42BD"/>
    <w:multiLevelType w:val="hybridMultilevel"/>
    <w:tmpl w:val="1BD4DFC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E7381A"/>
    <w:multiLevelType w:val="hybridMultilevel"/>
    <w:tmpl w:val="12C44E10"/>
    <w:lvl w:ilvl="0" w:tplc="204C5F1A">
      <w:start w:val="2"/>
      <w:numFmt w:val="lowerLetter"/>
      <w:lvlText w:val="%1."/>
      <w:lvlJc w:val="left"/>
      <w:pPr>
        <w:ind w:left="1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7B809AE">
      <w:start w:val="1"/>
      <w:numFmt w:val="lowerRoman"/>
      <w:lvlText w:val="%2."/>
      <w:lvlJc w:val="left"/>
      <w:pPr>
        <w:ind w:left="25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248E132">
      <w:start w:val="1"/>
      <w:numFmt w:val="lowerRoman"/>
      <w:lvlText w:val="%3"/>
      <w:lvlJc w:val="left"/>
      <w:pPr>
        <w:ind w:left="19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5E247E8">
      <w:start w:val="1"/>
      <w:numFmt w:val="decimal"/>
      <w:lvlText w:val="%4"/>
      <w:lvlJc w:val="left"/>
      <w:pPr>
        <w:ind w:left="26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174AEDA">
      <w:start w:val="1"/>
      <w:numFmt w:val="lowerLetter"/>
      <w:lvlText w:val="%5"/>
      <w:lvlJc w:val="left"/>
      <w:pPr>
        <w:ind w:left="33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1C65A36">
      <w:start w:val="1"/>
      <w:numFmt w:val="lowerRoman"/>
      <w:lvlText w:val="%6"/>
      <w:lvlJc w:val="left"/>
      <w:pPr>
        <w:ind w:left="4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252B92E">
      <w:start w:val="1"/>
      <w:numFmt w:val="decimal"/>
      <w:lvlText w:val="%7"/>
      <w:lvlJc w:val="left"/>
      <w:pPr>
        <w:ind w:left="4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5C49BD4">
      <w:start w:val="1"/>
      <w:numFmt w:val="lowerLetter"/>
      <w:lvlText w:val="%8"/>
      <w:lvlJc w:val="left"/>
      <w:pPr>
        <w:ind w:left="5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8409200">
      <w:start w:val="1"/>
      <w:numFmt w:val="lowerRoman"/>
      <w:lvlText w:val="%9"/>
      <w:lvlJc w:val="left"/>
      <w:pPr>
        <w:ind w:left="6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24601D1"/>
    <w:multiLevelType w:val="hybridMultilevel"/>
    <w:tmpl w:val="B2BA40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252D3A"/>
    <w:multiLevelType w:val="hybridMultilevel"/>
    <w:tmpl w:val="EF1E14E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DE860DF"/>
    <w:multiLevelType w:val="hybridMultilevel"/>
    <w:tmpl w:val="395CC9B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A4618B"/>
    <w:multiLevelType w:val="multilevel"/>
    <w:tmpl w:val="A0B26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3FA18FC"/>
    <w:multiLevelType w:val="hybridMultilevel"/>
    <w:tmpl w:val="4C06151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C67FD5"/>
    <w:multiLevelType w:val="hybridMultilevel"/>
    <w:tmpl w:val="BDC49C90"/>
    <w:lvl w:ilvl="0" w:tplc="ADDC78B8">
      <w:start w:val="1"/>
      <w:numFmt w:val="decimal"/>
      <w:lvlText w:val="%1."/>
      <w:lvlJc w:val="left"/>
      <w:pPr>
        <w:ind w:left="9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A7A01C0">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B466E48">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8568650">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B0C1298">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3E6D2A2">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9423F54">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6D0B2A6">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C8481D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5DE21F4"/>
    <w:multiLevelType w:val="hybridMultilevel"/>
    <w:tmpl w:val="B120C27E"/>
    <w:lvl w:ilvl="0" w:tplc="ECDA1B5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D5222C6">
      <w:start w:val="1"/>
      <w:numFmt w:val="lowerLetter"/>
      <w:lvlText w:val="%2"/>
      <w:lvlJc w:val="left"/>
      <w:pPr>
        <w:ind w:left="8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CC8658E">
      <w:start w:val="1"/>
      <w:numFmt w:val="lowerLetter"/>
      <w:lvlRestart w:val="0"/>
      <w:lvlText w:val="%3."/>
      <w:lvlJc w:val="left"/>
      <w:pPr>
        <w:ind w:left="17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63C7A4A">
      <w:start w:val="1"/>
      <w:numFmt w:val="decimal"/>
      <w:lvlText w:val="%4"/>
      <w:lvlJc w:val="left"/>
      <w:pPr>
        <w:ind w:left="21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CF69F04">
      <w:start w:val="1"/>
      <w:numFmt w:val="lowerLetter"/>
      <w:lvlText w:val="%5"/>
      <w:lvlJc w:val="left"/>
      <w:pPr>
        <w:ind w:left="28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BBAD36A">
      <w:start w:val="1"/>
      <w:numFmt w:val="lowerRoman"/>
      <w:lvlText w:val="%6"/>
      <w:lvlJc w:val="left"/>
      <w:pPr>
        <w:ind w:left="35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6BC1EF2">
      <w:start w:val="1"/>
      <w:numFmt w:val="decimal"/>
      <w:lvlText w:val="%7"/>
      <w:lvlJc w:val="left"/>
      <w:pPr>
        <w:ind w:left="42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8D2FFE8">
      <w:start w:val="1"/>
      <w:numFmt w:val="lowerLetter"/>
      <w:lvlText w:val="%8"/>
      <w:lvlJc w:val="left"/>
      <w:pPr>
        <w:ind w:left="49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6442E16">
      <w:start w:val="1"/>
      <w:numFmt w:val="lowerRoman"/>
      <w:lvlText w:val="%9"/>
      <w:lvlJc w:val="left"/>
      <w:pPr>
        <w:ind w:left="57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7637182"/>
    <w:multiLevelType w:val="multilevel"/>
    <w:tmpl w:val="D654D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82504B5"/>
    <w:multiLevelType w:val="hybridMultilevel"/>
    <w:tmpl w:val="82AA1D6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736988"/>
    <w:multiLevelType w:val="hybridMultilevel"/>
    <w:tmpl w:val="C4E63A8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09231A"/>
    <w:multiLevelType w:val="hybridMultilevel"/>
    <w:tmpl w:val="B4D4C450"/>
    <w:lvl w:ilvl="0" w:tplc="04090015">
      <w:start w:val="1"/>
      <w:numFmt w:val="upperLetter"/>
      <w:lvlText w:val="%1."/>
      <w:lvlJc w:val="left"/>
      <w:pPr>
        <w:ind w:left="720" w:hanging="360"/>
      </w:pPr>
      <w:rPr>
        <w:rFonts w:hint="default"/>
      </w:rPr>
    </w:lvl>
    <w:lvl w:ilvl="1" w:tplc="E250D558">
      <w:start w:val="1"/>
      <w:numFmt w:val="decimal"/>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401784"/>
    <w:multiLevelType w:val="hybridMultilevel"/>
    <w:tmpl w:val="B7943E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342489"/>
    <w:multiLevelType w:val="hybridMultilevel"/>
    <w:tmpl w:val="C86EC776"/>
    <w:lvl w:ilvl="0" w:tplc="AB7EB15C">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466680A">
      <w:start w:val="1"/>
      <w:numFmt w:val="lowerLetter"/>
      <w:lvlText w:val="%2"/>
      <w:lvlJc w:val="left"/>
      <w:pPr>
        <w:ind w:left="9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0DEFB48">
      <w:start w:val="1"/>
      <w:numFmt w:val="lowerRoman"/>
      <w:lvlRestart w:val="0"/>
      <w:lvlText w:val="%3."/>
      <w:lvlJc w:val="left"/>
      <w:pPr>
        <w:ind w:left="24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6BC79A4">
      <w:start w:val="1"/>
      <w:numFmt w:val="decimal"/>
      <w:lvlText w:val="%4"/>
      <w:lvlJc w:val="left"/>
      <w:pPr>
        <w:ind w:left="2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708CC9C">
      <w:start w:val="1"/>
      <w:numFmt w:val="lowerLetter"/>
      <w:lvlText w:val="%5"/>
      <w:lvlJc w:val="left"/>
      <w:pPr>
        <w:ind w:left="28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68ACAB8">
      <w:start w:val="1"/>
      <w:numFmt w:val="lowerRoman"/>
      <w:lvlText w:val="%6"/>
      <w:lvlJc w:val="left"/>
      <w:pPr>
        <w:ind w:left="36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BDE3638">
      <w:start w:val="1"/>
      <w:numFmt w:val="decimal"/>
      <w:lvlText w:val="%7"/>
      <w:lvlJc w:val="left"/>
      <w:pPr>
        <w:ind w:left="43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FD07534">
      <w:start w:val="1"/>
      <w:numFmt w:val="lowerLetter"/>
      <w:lvlText w:val="%8"/>
      <w:lvlJc w:val="left"/>
      <w:pPr>
        <w:ind w:left="50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784E416">
      <w:start w:val="1"/>
      <w:numFmt w:val="lowerRoman"/>
      <w:lvlText w:val="%9"/>
      <w:lvlJc w:val="left"/>
      <w:pPr>
        <w:ind w:left="5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84A5337"/>
    <w:multiLevelType w:val="hybridMultilevel"/>
    <w:tmpl w:val="54B4DB04"/>
    <w:lvl w:ilvl="0" w:tplc="D4BA67DC">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B7899A8">
      <w:start w:val="1"/>
      <w:numFmt w:val="lowerRoman"/>
      <w:lvlText w:val="%2."/>
      <w:lvlJc w:val="left"/>
      <w:pPr>
        <w:ind w:left="24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CC8E760">
      <w:start w:val="1"/>
      <w:numFmt w:val="lowerRoman"/>
      <w:lvlText w:val="%3"/>
      <w:lvlJc w:val="left"/>
      <w:pPr>
        <w:ind w:left="21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53AD5A8">
      <w:start w:val="1"/>
      <w:numFmt w:val="decimal"/>
      <w:lvlText w:val="%4"/>
      <w:lvlJc w:val="left"/>
      <w:pPr>
        <w:ind w:left="28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7342C80">
      <w:start w:val="1"/>
      <w:numFmt w:val="lowerLetter"/>
      <w:lvlText w:val="%5"/>
      <w:lvlJc w:val="left"/>
      <w:pPr>
        <w:ind w:left="36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134FE7C">
      <w:start w:val="1"/>
      <w:numFmt w:val="lowerRoman"/>
      <w:lvlText w:val="%6"/>
      <w:lvlJc w:val="left"/>
      <w:pPr>
        <w:ind w:left="43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82EAAAE">
      <w:start w:val="1"/>
      <w:numFmt w:val="decimal"/>
      <w:lvlText w:val="%7"/>
      <w:lvlJc w:val="left"/>
      <w:pPr>
        <w:ind w:left="50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A8E1150">
      <w:start w:val="1"/>
      <w:numFmt w:val="lowerLetter"/>
      <w:lvlText w:val="%8"/>
      <w:lvlJc w:val="left"/>
      <w:pPr>
        <w:ind w:left="57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E8C3498">
      <w:start w:val="1"/>
      <w:numFmt w:val="lowerRoman"/>
      <w:lvlText w:val="%9"/>
      <w:lvlJc w:val="left"/>
      <w:pPr>
        <w:ind w:left="64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CFE5262"/>
    <w:multiLevelType w:val="hybridMultilevel"/>
    <w:tmpl w:val="8B026784"/>
    <w:lvl w:ilvl="0" w:tplc="2F32E8F4">
      <w:start w:val="9"/>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4822020"/>
    <w:multiLevelType w:val="hybridMultilevel"/>
    <w:tmpl w:val="07521294"/>
    <w:lvl w:ilvl="0" w:tplc="372882D8">
      <w:start w:val="1"/>
      <w:numFmt w:val="lowerLetter"/>
      <w:lvlText w:val="%1."/>
      <w:lvlJc w:val="left"/>
      <w:pPr>
        <w:ind w:left="288"/>
      </w:pPr>
      <w:rPr>
        <w:rFonts w:asciiTheme="minorHAnsi" w:eastAsiaTheme="minorEastAsia" w:hAnsiTheme="minorHAnsi" w:cstheme="minorBidi"/>
        <w:b w:val="0"/>
        <w:i w:val="0"/>
        <w:strike w:val="0"/>
        <w:dstrike w:val="0"/>
        <w:color w:val="000000"/>
        <w:sz w:val="24"/>
        <w:szCs w:val="24"/>
        <w:u w:val="none" w:color="000000"/>
        <w:bdr w:val="none" w:sz="0" w:space="0" w:color="auto"/>
        <w:shd w:val="clear" w:color="auto" w:fill="auto"/>
        <w:vertAlign w:val="baseline"/>
      </w:rPr>
    </w:lvl>
    <w:lvl w:ilvl="1" w:tplc="1696CAD4">
      <w:start w:val="1"/>
      <w:numFmt w:val="lowerLetter"/>
      <w:lvlText w:val="%2."/>
      <w:lvlJc w:val="left"/>
      <w:pPr>
        <w:ind w:left="7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EEE9DA6">
      <w:start w:val="1"/>
      <w:numFmt w:val="lowerRoman"/>
      <w:lvlText w:val="%3"/>
      <w:lvlJc w:val="left"/>
      <w:pPr>
        <w:ind w:left="13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EDA0AB6">
      <w:start w:val="1"/>
      <w:numFmt w:val="decimal"/>
      <w:lvlText w:val="%4"/>
      <w:lvlJc w:val="left"/>
      <w:pPr>
        <w:ind w:left="20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C36C876">
      <w:start w:val="1"/>
      <w:numFmt w:val="lowerLetter"/>
      <w:lvlText w:val="%5"/>
      <w:lvlJc w:val="left"/>
      <w:pPr>
        <w:ind w:left="2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D5C6480">
      <w:start w:val="1"/>
      <w:numFmt w:val="lowerRoman"/>
      <w:lvlText w:val="%6"/>
      <w:lvlJc w:val="left"/>
      <w:pPr>
        <w:ind w:left="3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AD23A02">
      <w:start w:val="1"/>
      <w:numFmt w:val="decimal"/>
      <w:lvlText w:val="%7"/>
      <w:lvlJc w:val="left"/>
      <w:pPr>
        <w:ind w:left="4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72C0D3A">
      <w:start w:val="1"/>
      <w:numFmt w:val="lowerLetter"/>
      <w:lvlText w:val="%8"/>
      <w:lvlJc w:val="left"/>
      <w:pPr>
        <w:ind w:left="49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820C738">
      <w:start w:val="1"/>
      <w:numFmt w:val="lowerRoman"/>
      <w:lvlText w:val="%9"/>
      <w:lvlJc w:val="left"/>
      <w:pPr>
        <w:ind w:left="5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57E5D71"/>
    <w:multiLevelType w:val="multilevel"/>
    <w:tmpl w:val="2EC46008"/>
    <w:lvl w:ilvl="0">
      <w:start w:val="1"/>
      <w:numFmt w:val="bullet"/>
      <w:pStyle w:val="ListBullet"/>
      <w:lvlText w:val=""/>
      <w:lvlJc w:val="left"/>
      <w:pPr>
        <w:tabs>
          <w:tab w:val="num" w:pos="360"/>
        </w:tabs>
        <w:ind w:left="432" w:hanging="288"/>
      </w:pPr>
      <w:rPr>
        <w:rFonts w:ascii="Symbol" w:hAnsi="Symbol" w:hint="default"/>
        <w:color w:val="2F5496" w:themeColor="accent1" w:themeShade="BF"/>
      </w:rPr>
    </w:lvl>
    <w:lvl w:ilvl="1">
      <w:start w:val="1"/>
      <w:numFmt w:val="bullet"/>
      <w:lvlText w:val="o"/>
      <w:lvlJc w:val="left"/>
      <w:pPr>
        <w:ind w:left="1440" w:hanging="360"/>
      </w:pPr>
      <w:rPr>
        <w:rFonts w:ascii="Courier New" w:hAnsi="Courier New" w:hint="default"/>
        <w:color w:val="2F5496" w:themeColor="accent1" w:themeShade="BF"/>
      </w:rPr>
    </w:lvl>
    <w:lvl w:ilvl="2">
      <w:start w:val="1"/>
      <w:numFmt w:val="bullet"/>
      <w:lvlText w:val=""/>
      <w:lvlJc w:val="left"/>
      <w:pPr>
        <w:ind w:left="2160" w:hanging="360"/>
      </w:pPr>
      <w:rPr>
        <w:rFonts w:ascii="Wingdings" w:hAnsi="Wingdings" w:hint="default"/>
        <w:color w:val="2F5496" w:themeColor="accent1" w:themeShade="BF"/>
      </w:rPr>
    </w:lvl>
    <w:lvl w:ilvl="3">
      <w:start w:val="1"/>
      <w:numFmt w:val="bullet"/>
      <w:lvlText w:val=""/>
      <w:lvlJc w:val="left"/>
      <w:pPr>
        <w:ind w:left="2880" w:hanging="360"/>
      </w:pPr>
      <w:rPr>
        <w:rFonts w:ascii="Symbol" w:hAnsi="Symbol" w:hint="default"/>
        <w:color w:val="2F5496" w:themeColor="accent1" w:themeShade="BF"/>
      </w:rPr>
    </w:lvl>
    <w:lvl w:ilvl="4">
      <w:start w:val="1"/>
      <w:numFmt w:val="bullet"/>
      <w:lvlText w:val="o"/>
      <w:lvlJc w:val="left"/>
      <w:pPr>
        <w:ind w:left="3600" w:hanging="360"/>
      </w:pPr>
      <w:rPr>
        <w:rFonts w:ascii="Courier New" w:hAnsi="Courier New" w:hint="default"/>
        <w:color w:val="2F5496" w:themeColor="accent1" w:themeShade="BF"/>
      </w:rPr>
    </w:lvl>
    <w:lvl w:ilvl="5">
      <w:start w:val="1"/>
      <w:numFmt w:val="bullet"/>
      <w:lvlText w:val=""/>
      <w:lvlJc w:val="left"/>
      <w:pPr>
        <w:ind w:left="4320" w:hanging="360"/>
      </w:pPr>
      <w:rPr>
        <w:rFonts w:ascii="Wingdings" w:hAnsi="Wingdings" w:hint="default"/>
        <w:color w:val="2F5496" w:themeColor="accent1" w:themeShade="BF"/>
      </w:rPr>
    </w:lvl>
    <w:lvl w:ilvl="6">
      <w:start w:val="1"/>
      <w:numFmt w:val="bullet"/>
      <w:lvlText w:val=""/>
      <w:lvlJc w:val="left"/>
      <w:pPr>
        <w:ind w:left="5040" w:hanging="360"/>
      </w:pPr>
      <w:rPr>
        <w:rFonts w:ascii="Symbol" w:hAnsi="Symbol" w:hint="default"/>
        <w:color w:val="2F5496" w:themeColor="accent1" w:themeShade="BF"/>
      </w:rPr>
    </w:lvl>
    <w:lvl w:ilvl="7">
      <w:start w:val="1"/>
      <w:numFmt w:val="bullet"/>
      <w:lvlText w:val="o"/>
      <w:lvlJc w:val="left"/>
      <w:pPr>
        <w:ind w:left="5760" w:hanging="360"/>
      </w:pPr>
      <w:rPr>
        <w:rFonts w:ascii="Courier New" w:hAnsi="Courier New" w:hint="default"/>
        <w:color w:val="2F5496" w:themeColor="accent1" w:themeShade="BF"/>
      </w:rPr>
    </w:lvl>
    <w:lvl w:ilvl="8">
      <w:start w:val="1"/>
      <w:numFmt w:val="bullet"/>
      <w:lvlText w:val=""/>
      <w:lvlJc w:val="left"/>
      <w:pPr>
        <w:ind w:left="6480" w:hanging="360"/>
      </w:pPr>
      <w:rPr>
        <w:rFonts w:ascii="Wingdings" w:hAnsi="Wingdings" w:hint="default"/>
        <w:color w:val="2F5496" w:themeColor="accent1" w:themeShade="BF"/>
      </w:rPr>
    </w:lvl>
  </w:abstractNum>
  <w:abstractNum w:abstractNumId="22" w15:restartNumberingAfterBreak="0">
    <w:nsid w:val="67A02BF8"/>
    <w:multiLevelType w:val="hybridMultilevel"/>
    <w:tmpl w:val="0DE8D314"/>
    <w:lvl w:ilvl="0" w:tplc="5D4A43FC">
      <w:start w:val="4"/>
      <w:numFmt w:val="decimal"/>
      <w:lvlText w:val="%1."/>
      <w:lvlJc w:val="left"/>
      <w:pPr>
        <w:ind w:left="9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35ED6FC">
      <w:start w:val="1"/>
      <w:numFmt w:val="lowerLetter"/>
      <w:lvlText w:val="%2."/>
      <w:lvlJc w:val="left"/>
      <w:pPr>
        <w:ind w:left="17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BEEA828">
      <w:start w:val="1"/>
      <w:numFmt w:val="lowerRoman"/>
      <w:lvlText w:val="%3"/>
      <w:lvlJc w:val="left"/>
      <w:pPr>
        <w:ind w:left="18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4FC003E">
      <w:start w:val="1"/>
      <w:numFmt w:val="decimal"/>
      <w:lvlText w:val="%4"/>
      <w:lvlJc w:val="left"/>
      <w:pPr>
        <w:ind w:left="25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3BC3DF2">
      <w:start w:val="1"/>
      <w:numFmt w:val="lowerLetter"/>
      <w:lvlText w:val="%5"/>
      <w:lvlJc w:val="left"/>
      <w:pPr>
        <w:ind w:left="32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FB453E2">
      <w:start w:val="1"/>
      <w:numFmt w:val="lowerRoman"/>
      <w:lvlText w:val="%6"/>
      <w:lvlJc w:val="left"/>
      <w:pPr>
        <w:ind w:left="39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ABE29B4">
      <w:start w:val="1"/>
      <w:numFmt w:val="decimal"/>
      <w:lvlText w:val="%7"/>
      <w:lvlJc w:val="left"/>
      <w:pPr>
        <w:ind w:left="46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BC418FA">
      <w:start w:val="1"/>
      <w:numFmt w:val="lowerLetter"/>
      <w:lvlText w:val="%8"/>
      <w:lvlJc w:val="left"/>
      <w:pPr>
        <w:ind w:left="54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098AEE2">
      <w:start w:val="1"/>
      <w:numFmt w:val="lowerRoman"/>
      <w:lvlText w:val="%9"/>
      <w:lvlJc w:val="left"/>
      <w:pPr>
        <w:ind w:left="61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D25798C"/>
    <w:multiLevelType w:val="hybridMultilevel"/>
    <w:tmpl w:val="5DD8B0E2"/>
    <w:lvl w:ilvl="0" w:tplc="4A58799E">
      <w:start w:val="1"/>
      <w:numFmt w:val="upperLetter"/>
      <w:pStyle w:val="Heading2"/>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4" w15:restartNumberingAfterBreak="0">
    <w:nsid w:val="6E2C6C16"/>
    <w:multiLevelType w:val="multilevel"/>
    <w:tmpl w:val="6E2ABD14"/>
    <w:lvl w:ilvl="0">
      <w:start w:val="1"/>
      <w:numFmt w:val="lowerRoman"/>
      <w:lvlText w:val="%1."/>
      <w:lvlJc w:val="righ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43B50FA"/>
    <w:multiLevelType w:val="hybridMultilevel"/>
    <w:tmpl w:val="37E01DEE"/>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092828"/>
    <w:multiLevelType w:val="multilevel"/>
    <w:tmpl w:val="18C8327A"/>
    <w:lvl w:ilvl="0">
      <w:start w:val="1"/>
      <w:numFmt w:val="lowerRoman"/>
      <w:lvlText w:val="%1."/>
      <w:lvlJc w:val="righ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23"/>
  </w:num>
  <w:num w:numId="3">
    <w:abstractNumId w:val="23"/>
    <w:lvlOverride w:ilvl="0">
      <w:startOverride w:val="1"/>
    </w:lvlOverride>
  </w:num>
  <w:num w:numId="4">
    <w:abstractNumId w:val="20"/>
  </w:num>
  <w:num w:numId="5">
    <w:abstractNumId w:val="2"/>
  </w:num>
  <w:num w:numId="6">
    <w:abstractNumId w:val="16"/>
  </w:num>
  <w:num w:numId="7">
    <w:abstractNumId w:val="10"/>
  </w:num>
  <w:num w:numId="8">
    <w:abstractNumId w:val="18"/>
  </w:num>
  <w:num w:numId="9">
    <w:abstractNumId w:val="4"/>
  </w:num>
  <w:num w:numId="10">
    <w:abstractNumId w:val="17"/>
  </w:num>
  <w:num w:numId="11">
    <w:abstractNumId w:val="22"/>
  </w:num>
  <w:num w:numId="12">
    <w:abstractNumId w:val="11"/>
  </w:num>
  <w:num w:numId="13">
    <w:abstractNumId w:val="15"/>
  </w:num>
  <w:num w:numId="14">
    <w:abstractNumId w:val="6"/>
  </w:num>
  <w:num w:numId="15">
    <w:abstractNumId w:val="19"/>
  </w:num>
  <w:num w:numId="16">
    <w:abstractNumId w:val="8"/>
  </w:num>
  <w:num w:numId="17">
    <w:abstractNumId w:val="12"/>
  </w:num>
  <w:num w:numId="18">
    <w:abstractNumId w:val="13"/>
  </w:num>
  <w:num w:numId="19">
    <w:abstractNumId w:val="25"/>
  </w:num>
  <w:num w:numId="20">
    <w:abstractNumId w:val="24"/>
  </w:num>
  <w:num w:numId="21">
    <w:abstractNumId w:val="26"/>
  </w:num>
  <w:num w:numId="22">
    <w:abstractNumId w:val="1"/>
  </w:num>
  <w:num w:numId="23">
    <w:abstractNumId w:val="5"/>
  </w:num>
  <w:num w:numId="24">
    <w:abstractNumId w:val="14"/>
  </w:num>
  <w:num w:numId="25">
    <w:abstractNumId w:val="3"/>
  </w:num>
  <w:num w:numId="26">
    <w:abstractNumId w:val="0"/>
  </w:num>
  <w:num w:numId="27">
    <w:abstractNumId w:val="9"/>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A2F"/>
    <w:rsid w:val="00004BD3"/>
    <w:rsid w:val="00005759"/>
    <w:rsid w:val="00016ED6"/>
    <w:rsid w:val="00024426"/>
    <w:rsid w:val="00034C65"/>
    <w:rsid w:val="00036148"/>
    <w:rsid w:val="00036495"/>
    <w:rsid w:val="00041ACA"/>
    <w:rsid w:val="000445A5"/>
    <w:rsid w:val="00057A34"/>
    <w:rsid w:val="00086932"/>
    <w:rsid w:val="00092782"/>
    <w:rsid w:val="000978EE"/>
    <w:rsid w:val="000B2693"/>
    <w:rsid w:val="000C3EF9"/>
    <w:rsid w:val="000D0692"/>
    <w:rsid w:val="000D09BF"/>
    <w:rsid w:val="000D7412"/>
    <w:rsid w:val="000F3204"/>
    <w:rsid w:val="00100F2A"/>
    <w:rsid w:val="001172B7"/>
    <w:rsid w:val="00130A74"/>
    <w:rsid w:val="00161395"/>
    <w:rsid w:val="00181680"/>
    <w:rsid w:val="00182592"/>
    <w:rsid w:val="00210D17"/>
    <w:rsid w:val="00235535"/>
    <w:rsid w:val="00276DD0"/>
    <w:rsid w:val="00281618"/>
    <w:rsid w:val="002A1142"/>
    <w:rsid w:val="002B4A37"/>
    <w:rsid w:val="002B7049"/>
    <w:rsid w:val="002E21D4"/>
    <w:rsid w:val="002E5270"/>
    <w:rsid w:val="002F1D26"/>
    <w:rsid w:val="00303BC6"/>
    <w:rsid w:val="00324C28"/>
    <w:rsid w:val="00327A9F"/>
    <w:rsid w:val="00337874"/>
    <w:rsid w:val="00337DBA"/>
    <w:rsid w:val="00357DF9"/>
    <w:rsid w:val="003607FF"/>
    <w:rsid w:val="00364FE2"/>
    <w:rsid w:val="00367748"/>
    <w:rsid w:val="00370DFC"/>
    <w:rsid w:val="003B28D6"/>
    <w:rsid w:val="003C440F"/>
    <w:rsid w:val="003D419C"/>
    <w:rsid w:val="003E60E0"/>
    <w:rsid w:val="003E71B5"/>
    <w:rsid w:val="003E7346"/>
    <w:rsid w:val="00416C48"/>
    <w:rsid w:val="00420175"/>
    <w:rsid w:val="00441842"/>
    <w:rsid w:val="00452015"/>
    <w:rsid w:val="004600A1"/>
    <w:rsid w:val="00461E38"/>
    <w:rsid w:val="004762D6"/>
    <w:rsid w:val="00476EE8"/>
    <w:rsid w:val="00482144"/>
    <w:rsid w:val="004825FB"/>
    <w:rsid w:val="004917F6"/>
    <w:rsid w:val="0049693D"/>
    <w:rsid w:val="004A06C1"/>
    <w:rsid w:val="004A458B"/>
    <w:rsid w:val="004B4983"/>
    <w:rsid w:val="004D1DD0"/>
    <w:rsid w:val="004D259B"/>
    <w:rsid w:val="004F18F5"/>
    <w:rsid w:val="004F2E66"/>
    <w:rsid w:val="004F60DB"/>
    <w:rsid w:val="0051335A"/>
    <w:rsid w:val="00517D48"/>
    <w:rsid w:val="0055283B"/>
    <w:rsid w:val="005630F7"/>
    <w:rsid w:val="0057433C"/>
    <w:rsid w:val="0058016C"/>
    <w:rsid w:val="005972C4"/>
    <w:rsid w:val="005D10ED"/>
    <w:rsid w:val="006014C9"/>
    <w:rsid w:val="006211E6"/>
    <w:rsid w:val="00623B53"/>
    <w:rsid w:val="00640F9A"/>
    <w:rsid w:val="00661D8A"/>
    <w:rsid w:val="00663796"/>
    <w:rsid w:val="006A37A3"/>
    <w:rsid w:val="006C1BB8"/>
    <w:rsid w:val="006D78BB"/>
    <w:rsid w:val="006E305A"/>
    <w:rsid w:val="006E60C8"/>
    <w:rsid w:val="006F4735"/>
    <w:rsid w:val="00710C27"/>
    <w:rsid w:val="007169B7"/>
    <w:rsid w:val="00731458"/>
    <w:rsid w:val="00744895"/>
    <w:rsid w:val="00770DB5"/>
    <w:rsid w:val="007727D9"/>
    <w:rsid w:val="00773A90"/>
    <w:rsid w:val="00775EDD"/>
    <w:rsid w:val="00777F10"/>
    <w:rsid w:val="007835AC"/>
    <w:rsid w:val="00797EBD"/>
    <w:rsid w:val="007A2B08"/>
    <w:rsid w:val="007A7BCB"/>
    <w:rsid w:val="007B7872"/>
    <w:rsid w:val="007C1D97"/>
    <w:rsid w:val="007D4DF4"/>
    <w:rsid w:val="007E115B"/>
    <w:rsid w:val="0080010A"/>
    <w:rsid w:val="00802263"/>
    <w:rsid w:val="00816494"/>
    <w:rsid w:val="00844B44"/>
    <w:rsid w:val="008643CA"/>
    <w:rsid w:val="00872219"/>
    <w:rsid w:val="00877CDE"/>
    <w:rsid w:val="008827C8"/>
    <w:rsid w:val="008C5DBE"/>
    <w:rsid w:val="008D7D52"/>
    <w:rsid w:val="008E0DE3"/>
    <w:rsid w:val="008E5C7C"/>
    <w:rsid w:val="00916228"/>
    <w:rsid w:val="009715DD"/>
    <w:rsid w:val="0098301A"/>
    <w:rsid w:val="00985F29"/>
    <w:rsid w:val="009B4233"/>
    <w:rsid w:val="009C03F7"/>
    <w:rsid w:val="009C055E"/>
    <w:rsid w:val="009C79D0"/>
    <w:rsid w:val="009D2729"/>
    <w:rsid w:val="009F2BB3"/>
    <w:rsid w:val="009F7934"/>
    <w:rsid w:val="00A07509"/>
    <w:rsid w:val="00A1098C"/>
    <w:rsid w:val="00A4081C"/>
    <w:rsid w:val="00A42202"/>
    <w:rsid w:val="00A42B86"/>
    <w:rsid w:val="00A4382B"/>
    <w:rsid w:val="00A4462A"/>
    <w:rsid w:val="00A8381B"/>
    <w:rsid w:val="00AC28DC"/>
    <w:rsid w:val="00AF1D44"/>
    <w:rsid w:val="00B0307D"/>
    <w:rsid w:val="00B24649"/>
    <w:rsid w:val="00B30F59"/>
    <w:rsid w:val="00B5266A"/>
    <w:rsid w:val="00B540B2"/>
    <w:rsid w:val="00BA780E"/>
    <w:rsid w:val="00BC022E"/>
    <w:rsid w:val="00BC7B57"/>
    <w:rsid w:val="00BD21D0"/>
    <w:rsid w:val="00C04486"/>
    <w:rsid w:val="00C17185"/>
    <w:rsid w:val="00C2060D"/>
    <w:rsid w:val="00C23A4E"/>
    <w:rsid w:val="00C3359D"/>
    <w:rsid w:val="00C360FE"/>
    <w:rsid w:val="00C4254B"/>
    <w:rsid w:val="00C65150"/>
    <w:rsid w:val="00C74840"/>
    <w:rsid w:val="00C75C7F"/>
    <w:rsid w:val="00C769A0"/>
    <w:rsid w:val="00C91469"/>
    <w:rsid w:val="00C9195E"/>
    <w:rsid w:val="00CA6A33"/>
    <w:rsid w:val="00CC0ABC"/>
    <w:rsid w:val="00CD1662"/>
    <w:rsid w:val="00CE4549"/>
    <w:rsid w:val="00CF65AD"/>
    <w:rsid w:val="00D0492B"/>
    <w:rsid w:val="00D14FF5"/>
    <w:rsid w:val="00D16D56"/>
    <w:rsid w:val="00D24A2F"/>
    <w:rsid w:val="00D276AD"/>
    <w:rsid w:val="00D42716"/>
    <w:rsid w:val="00D526F4"/>
    <w:rsid w:val="00D548C1"/>
    <w:rsid w:val="00D62757"/>
    <w:rsid w:val="00D6690D"/>
    <w:rsid w:val="00D771F3"/>
    <w:rsid w:val="00D842CA"/>
    <w:rsid w:val="00DB705E"/>
    <w:rsid w:val="00DE3407"/>
    <w:rsid w:val="00DE6BC0"/>
    <w:rsid w:val="00E0055F"/>
    <w:rsid w:val="00E019F9"/>
    <w:rsid w:val="00E03505"/>
    <w:rsid w:val="00E068CB"/>
    <w:rsid w:val="00E14F47"/>
    <w:rsid w:val="00E27C2B"/>
    <w:rsid w:val="00E3543F"/>
    <w:rsid w:val="00E46402"/>
    <w:rsid w:val="00E50DD0"/>
    <w:rsid w:val="00E54A0C"/>
    <w:rsid w:val="00E65383"/>
    <w:rsid w:val="00E70F8C"/>
    <w:rsid w:val="00E71B2D"/>
    <w:rsid w:val="00E87DC4"/>
    <w:rsid w:val="00EC6EE3"/>
    <w:rsid w:val="00EE12AD"/>
    <w:rsid w:val="00EE656C"/>
    <w:rsid w:val="00EE7AB8"/>
    <w:rsid w:val="00F60ADD"/>
    <w:rsid w:val="00F65265"/>
    <w:rsid w:val="00F71481"/>
    <w:rsid w:val="00F73153"/>
    <w:rsid w:val="00F9296C"/>
    <w:rsid w:val="00F97D36"/>
    <w:rsid w:val="00FC0775"/>
    <w:rsid w:val="00FD003A"/>
    <w:rsid w:val="00FD1DAD"/>
    <w:rsid w:val="00FD7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96D158"/>
  <w15:chartTrackingRefBased/>
  <w15:docId w15:val="{8A8F96B4-D22B-794B-993E-E8A946C8B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A2F"/>
    <w:rPr>
      <w:rFonts w:eastAsiaTheme="minorEastAsia"/>
      <w:sz w:val="22"/>
    </w:rPr>
  </w:style>
  <w:style w:type="paragraph" w:styleId="Heading2">
    <w:name w:val="heading 2"/>
    <w:basedOn w:val="Normal"/>
    <w:next w:val="Normal"/>
    <w:link w:val="Heading2Char"/>
    <w:uiPriority w:val="9"/>
    <w:unhideWhenUsed/>
    <w:qFormat/>
    <w:rsid w:val="00D24A2F"/>
    <w:pPr>
      <w:keepNext/>
      <w:numPr>
        <w:numId w:val="2"/>
      </w:numPr>
      <w:spacing w:before="100" w:beforeAutospacing="1" w:after="240"/>
      <w:ind w:left="763"/>
      <w:jc w:val="both"/>
      <w:textAlignment w:val="baseline"/>
      <w:outlineLvl w:val="1"/>
    </w:pPr>
    <w:rPr>
      <w:rFonts w:eastAsia="Times New Roman" w:cs="Calibri"/>
      <w:b/>
      <w:bCs/>
      <w:szCs w:val="22"/>
    </w:rPr>
  </w:style>
  <w:style w:type="paragraph" w:styleId="Heading3">
    <w:name w:val="heading 3"/>
    <w:basedOn w:val="Normal"/>
    <w:next w:val="Normal"/>
    <w:link w:val="Heading3Char"/>
    <w:uiPriority w:val="9"/>
    <w:unhideWhenUsed/>
    <w:qFormat/>
    <w:rsid w:val="00D24A2F"/>
    <w:pPr>
      <w:keepNext/>
      <w:jc w:val="center"/>
      <w:outlineLvl w:val="2"/>
    </w:pPr>
    <w:rPr>
      <w:b/>
    </w:rPr>
  </w:style>
  <w:style w:type="paragraph" w:styleId="Heading4">
    <w:name w:val="heading 4"/>
    <w:basedOn w:val="Normal"/>
    <w:next w:val="Normal"/>
    <w:link w:val="Heading4Char"/>
    <w:uiPriority w:val="9"/>
    <w:unhideWhenUsed/>
    <w:qFormat/>
    <w:rsid w:val="00D24A2F"/>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24A2F"/>
    <w:rPr>
      <w:rFonts w:eastAsia="Times New Roman" w:cs="Calibri"/>
      <w:b/>
      <w:bCs/>
      <w:sz w:val="22"/>
      <w:szCs w:val="22"/>
    </w:rPr>
  </w:style>
  <w:style w:type="character" w:customStyle="1" w:styleId="Heading3Char">
    <w:name w:val="Heading 3 Char"/>
    <w:basedOn w:val="DefaultParagraphFont"/>
    <w:link w:val="Heading3"/>
    <w:uiPriority w:val="9"/>
    <w:rsid w:val="00D24A2F"/>
    <w:rPr>
      <w:rFonts w:eastAsiaTheme="minorEastAsia"/>
      <w:b/>
      <w:sz w:val="22"/>
    </w:rPr>
  </w:style>
  <w:style w:type="character" w:customStyle="1" w:styleId="Heading4Char">
    <w:name w:val="Heading 4 Char"/>
    <w:basedOn w:val="DefaultParagraphFont"/>
    <w:link w:val="Heading4"/>
    <w:uiPriority w:val="9"/>
    <w:rsid w:val="00D24A2F"/>
    <w:rPr>
      <w:rFonts w:eastAsiaTheme="minorEastAsia"/>
      <w:b/>
      <w:sz w:val="22"/>
    </w:rPr>
  </w:style>
  <w:style w:type="paragraph" w:styleId="Header">
    <w:name w:val="header"/>
    <w:basedOn w:val="Normal"/>
    <w:link w:val="HeaderChar"/>
    <w:uiPriority w:val="99"/>
    <w:unhideWhenUsed/>
    <w:rsid w:val="00D24A2F"/>
    <w:pPr>
      <w:tabs>
        <w:tab w:val="center" w:pos="4320"/>
        <w:tab w:val="right" w:pos="8640"/>
      </w:tabs>
    </w:pPr>
  </w:style>
  <w:style w:type="character" w:customStyle="1" w:styleId="HeaderChar">
    <w:name w:val="Header Char"/>
    <w:basedOn w:val="DefaultParagraphFont"/>
    <w:link w:val="Header"/>
    <w:uiPriority w:val="99"/>
    <w:rsid w:val="00D24A2F"/>
    <w:rPr>
      <w:rFonts w:eastAsiaTheme="minorEastAsia"/>
      <w:sz w:val="22"/>
    </w:rPr>
  </w:style>
  <w:style w:type="paragraph" w:styleId="Footer">
    <w:name w:val="footer"/>
    <w:basedOn w:val="Normal"/>
    <w:link w:val="FooterChar"/>
    <w:uiPriority w:val="99"/>
    <w:unhideWhenUsed/>
    <w:rsid w:val="00D24A2F"/>
    <w:pPr>
      <w:tabs>
        <w:tab w:val="center" w:pos="4320"/>
        <w:tab w:val="right" w:pos="8640"/>
      </w:tabs>
    </w:pPr>
  </w:style>
  <w:style w:type="character" w:customStyle="1" w:styleId="FooterChar">
    <w:name w:val="Footer Char"/>
    <w:basedOn w:val="DefaultParagraphFont"/>
    <w:link w:val="Footer"/>
    <w:uiPriority w:val="99"/>
    <w:rsid w:val="00D24A2F"/>
    <w:rPr>
      <w:rFonts w:eastAsiaTheme="minorEastAsia"/>
      <w:sz w:val="22"/>
    </w:rPr>
  </w:style>
  <w:style w:type="paragraph" w:styleId="ListBullet">
    <w:name w:val="List Bullet"/>
    <w:basedOn w:val="Normal"/>
    <w:uiPriority w:val="11"/>
    <w:unhideWhenUsed/>
    <w:qFormat/>
    <w:rsid w:val="00D24A2F"/>
    <w:pPr>
      <w:numPr>
        <w:numId w:val="1"/>
      </w:numPr>
      <w:spacing w:before="60" w:after="60" w:line="288" w:lineRule="auto"/>
    </w:pPr>
    <w:rPr>
      <w:rFonts w:eastAsiaTheme="minorHAnsi"/>
      <w:sz w:val="21"/>
      <w:szCs w:val="18"/>
      <w:lang w:eastAsia="ja-JP"/>
    </w:rPr>
  </w:style>
  <w:style w:type="table" w:styleId="PlainTable4">
    <w:name w:val="Plain Table 4"/>
    <w:basedOn w:val="TableNormal"/>
    <w:uiPriority w:val="44"/>
    <w:rsid w:val="00D24A2F"/>
    <w:rPr>
      <w:color w:val="404040" w:themeColor="text1" w:themeTint="BF"/>
      <w:sz w:val="18"/>
      <w:szCs w:val="18"/>
      <w:lang w:eastAsia="ja-JP"/>
    </w:rPr>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59"/>
    <w:rsid w:val="00D24A2F"/>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4A3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B4A37"/>
    <w:rPr>
      <w:rFonts w:ascii="Times New Roman" w:eastAsiaTheme="minorEastAsia" w:hAnsi="Times New Roman" w:cs="Times New Roman"/>
      <w:sz w:val="18"/>
      <w:szCs w:val="18"/>
    </w:rPr>
  </w:style>
  <w:style w:type="paragraph" w:styleId="ListParagraph">
    <w:name w:val="List Paragraph"/>
    <w:basedOn w:val="Normal"/>
    <w:uiPriority w:val="34"/>
    <w:qFormat/>
    <w:rsid w:val="00D14FF5"/>
    <w:pPr>
      <w:ind w:left="720"/>
      <w:contextualSpacing/>
    </w:pPr>
  </w:style>
  <w:style w:type="character" w:styleId="CommentReference">
    <w:name w:val="annotation reference"/>
    <w:basedOn w:val="DefaultParagraphFont"/>
    <w:uiPriority w:val="99"/>
    <w:semiHidden/>
    <w:unhideWhenUsed/>
    <w:rsid w:val="006C1BB8"/>
    <w:rPr>
      <w:sz w:val="16"/>
      <w:szCs w:val="16"/>
    </w:rPr>
  </w:style>
  <w:style w:type="paragraph" w:styleId="CommentText">
    <w:name w:val="annotation text"/>
    <w:basedOn w:val="Normal"/>
    <w:link w:val="CommentTextChar"/>
    <w:uiPriority w:val="99"/>
    <w:semiHidden/>
    <w:unhideWhenUsed/>
    <w:rsid w:val="006C1BB8"/>
    <w:pPr>
      <w:spacing w:after="13"/>
      <w:ind w:left="10" w:hanging="10"/>
      <w:jc w:val="both"/>
    </w:pPr>
    <w:rPr>
      <w:rFonts w:ascii="Calibri" w:eastAsia="Calibri" w:hAnsi="Calibri" w:cs="Calibri"/>
      <w:color w:val="000000"/>
      <w:sz w:val="20"/>
      <w:szCs w:val="20"/>
    </w:rPr>
  </w:style>
  <w:style w:type="character" w:customStyle="1" w:styleId="CommentTextChar">
    <w:name w:val="Comment Text Char"/>
    <w:basedOn w:val="DefaultParagraphFont"/>
    <w:link w:val="CommentText"/>
    <w:uiPriority w:val="99"/>
    <w:semiHidden/>
    <w:rsid w:val="006C1BB8"/>
    <w:rPr>
      <w:rFonts w:ascii="Calibri" w:eastAsia="Calibri" w:hAnsi="Calibri" w:cs="Calibri"/>
      <w:color w:val="000000"/>
      <w:sz w:val="20"/>
      <w:szCs w:val="20"/>
    </w:rPr>
  </w:style>
  <w:style w:type="character" w:styleId="Hyperlink">
    <w:name w:val="Hyperlink"/>
    <w:basedOn w:val="DefaultParagraphFont"/>
    <w:uiPriority w:val="99"/>
    <w:unhideWhenUsed/>
    <w:rsid w:val="00420175"/>
    <w:rPr>
      <w:color w:val="0563C1" w:themeColor="hyperlink"/>
      <w:u w:val="single"/>
    </w:rPr>
  </w:style>
  <w:style w:type="character" w:customStyle="1" w:styleId="apple-converted-space">
    <w:name w:val="apple-converted-space"/>
    <w:basedOn w:val="DefaultParagraphFont"/>
    <w:rsid w:val="00C20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52992">
      <w:bodyDiv w:val="1"/>
      <w:marLeft w:val="0"/>
      <w:marRight w:val="0"/>
      <w:marTop w:val="0"/>
      <w:marBottom w:val="0"/>
      <w:divBdr>
        <w:top w:val="none" w:sz="0" w:space="0" w:color="auto"/>
        <w:left w:val="none" w:sz="0" w:space="0" w:color="auto"/>
        <w:bottom w:val="none" w:sz="0" w:space="0" w:color="auto"/>
        <w:right w:val="none" w:sz="0" w:space="0" w:color="auto"/>
      </w:divBdr>
    </w:div>
    <w:div w:id="1580361766">
      <w:bodyDiv w:val="1"/>
      <w:marLeft w:val="0"/>
      <w:marRight w:val="0"/>
      <w:marTop w:val="0"/>
      <w:marBottom w:val="0"/>
      <w:divBdr>
        <w:top w:val="none" w:sz="0" w:space="0" w:color="auto"/>
        <w:left w:val="none" w:sz="0" w:space="0" w:color="auto"/>
        <w:bottom w:val="none" w:sz="0" w:space="0" w:color="auto"/>
        <w:right w:val="none" w:sz="0" w:space="0" w:color="auto"/>
      </w:divBdr>
    </w:div>
    <w:div w:id="1586303012">
      <w:bodyDiv w:val="1"/>
      <w:marLeft w:val="0"/>
      <w:marRight w:val="0"/>
      <w:marTop w:val="0"/>
      <w:marBottom w:val="0"/>
      <w:divBdr>
        <w:top w:val="none" w:sz="0" w:space="0" w:color="auto"/>
        <w:left w:val="none" w:sz="0" w:space="0" w:color="auto"/>
        <w:bottom w:val="none" w:sz="0" w:space="0" w:color="auto"/>
        <w:right w:val="none" w:sz="0" w:space="0" w:color="auto"/>
      </w:divBdr>
    </w:div>
    <w:div w:id="166280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28FDA2A7C6774299FF16D132243E9E" ma:contentTypeVersion="15" ma:contentTypeDescription="Create a new document." ma:contentTypeScope="" ma:versionID="c21950c7cc0cc8b57cad239a24d9d2bd">
  <xsd:schema xmlns:xsd="http://www.w3.org/2001/XMLSchema" xmlns:xs="http://www.w3.org/2001/XMLSchema" xmlns:p="http://schemas.microsoft.com/office/2006/metadata/properties" xmlns:ns2="53894fc3-fbf3-47c8-9671-9fefdf36e178" xmlns:ns3="c4ce1cac-a8da-4971-b577-088cbfc3c871" targetNamespace="http://schemas.microsoft.com/office/2006/metadata/properties" ma:root="true" ma:fieldsID="4c38e5c9a5512f50d52d998290212691" ns2:_="" ns3:_="">
    <xsd:import namespace="53894fc3-fbf3-47c8-9671-9fefdf36e178"/>
    <xsd:import namespace="c4ce1cac-a8da-4971-b577-088cbfc3c8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894fc3-fbf3-47c8-9671-9fefdf36e1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1a01ffc-7703-4b5f-b6e1-c1b8dc2ede7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ce1cac-a8da-4971-b577-088cbfc3c87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a22586c-751d-4436-81e6-31ac7660584f}" ma:internalName="TaxCatchAll" ma:showField="CatchAllData" ma:web="c4ce1cac-a8da-4971-b577-088cbfc3c8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4ce1cac-a8da-4971-b577-088cbfc3c871" xsi:nil="true"/>
    <lcf76f155ced4ddcb4097134ff3c332f xmlns="53894fc3-fbf3-47c8-9671-9fefdf36e17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8F327C7-A326-4F0B-AB44-67DECD90AF37}">
  <ds:schemaRefs>
    <ds:schemaRef ds:uri="http://schemas.microsoft.com/sharepoint/v3/contenttype/forms"/>
  </ds:schemaRefs>
</ds:datastoreItem>
</file>

<file path=customXml/itemProps2.xml><?xml version="1.0" encoding="utf-8"?>
<ds:datastoreItem xmlns:ds="http://schemas.openxmlformats.org/officeDocument/2006/customXml" ds:itemID="{ADE1322F-49C4-4B5B-B02B-C144CEA2BB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894fc3-fbf3-47c8-9671-9fefdf36e178"/>
    <ds:schemaRef ds:uri="c4ce1cac-a8da-4971-b577-088cbfc3c8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6EB30A-D303-4F3D-8310-92B6CDAC6FFF}">
  <ds:schemaRefs>
    <ds:schemaRef ds:uri="http://schemas.microsoft.com/office/2006/metadata/properties"/>
    <ds:schemaRef ds:uri="http://schemas.microsoft.com/office/infopath/2007/PartnerControls"/>
    <ds:schemaRef ds:uri="c4ce1cac-a8da-4971-b577-088cbfc3c871"/>
    <ds:schemaRef ds:uri="53894fc3-fbf3-47c8-9671-9fefdf36e17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1068</Words>
  <Characters>6094</Characters>
  <Application>Microsoft Office Word</Application>
  <DocSecurity>0</DocSecurity>
  <Lines>50</Lines>
  <Paragraphs>14</Paragraphs>
  <ScaleCrop>false</ScaleCrop>
  <Company/>
  <LinksUpToDate>false</LinksUpToDate>
  <CharactersWithSpaces>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Warren</dc:creator>
  <cp:keywords/>
  <dc:description/>
  <cp:lastModifiedBy>McAlpin, Hayden</cp:lastModifiedBy>
  <cp:revision>2</cp:revision>
  <dcterms:created xsi:type="dcterms:W3CDTF">2023-10-16T21:46:00Z</dcterms:created>
  <dcterms:modified xsi:type="dcterms:W3CDTF">2023-10-16T21:46:00Z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0x0101009628FDA2A7C6774299FF16D132243E9E</vt:lpwstr>
  </property>
  <property fmtid="{D5CDD505-2E9C-101B-9397-08002B2CF9AE}" pid="3" name="MediaServiceImageTags">
    <vt:lpwstr/>
  </property>
</Properties>
</file>