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247B" w14:textId="2E9145F3" w:rsidR="00D24A2F" w:rsidRDefault="00CA6A33" w:rsidP="00D34C2E">
      <w:pPr>
        <w:jc w:val="both"/>
        <w:rPr>
          <w:rFonts w:ascii="Times" w:hAnsi="Times"/>
          <w:b/>
          <w:i/>
          <w:color w:val="083065"/>
          <w:szCs w:val="22"/>
        </w:rPr>
      </w:pPr>
      <w:r>
        <w:rPr>
          <w:rFonts w:ascii="Times" w:hAnsi="Times"/>
          <w:b/>
          <w:i/>
          <w:color w:val="083065"/>
          <w:szCs w:val="22"/>
        </w:rPr>
        <w:t>Division of Risk Management</w:t>
      </w:r>
    </w:p>
    <w:p w14:paraId="0D266CEF" w14:textId="77777777" w:rsidR="00D24A2F" w:rsidRPr="00726CA3" w:rsidRDefault="00D24A2F" w:rsidP="00D34C2E">
      <w:pPr>
        <w:jc w:val="both"/>
        <w:rPr>
          <w:rFonts w:ascii="Times" w:hAnsi="Times"/>
          <w:b/>
          <w:i/>
          <w:color w:val="083065"/>
          <w:szCs w:val="22"/>
        </w:rPr>
      </w:pPr>
    </w:p>
    <w:p w14:paraId="162DD608" w14:textId="6DF3C014" w:rsidR="00D24A2F" w:rsidRPr="00726CA3" w:rsidRDefault="00C3359D" w:rsidP="00D34C2E">
      <w:pPr>
        <w:pStyle w:val="Heading3"/>
        <w:rPr>
          <w:szCs w:val="22"/>
        </w:rPr>
      </w:pPr>
      <w:r>
        <w:rPr>
          <w:szCs w:val="22"/>
        </w:rPr>
        <w:t>ENERGY CONSERVATION POLICY</w:t>
      </w:r>
    </w:p>
    <w:p w14:paraId="7778B623" w14:textId="77777777" w:rsidR="00D24A2F" w:rsidRDefault="00D24A2F" w:rsidP="00D34C2E">
      <w:pPr>
        <w:jc w:val="both"/>
        <w:rPr>
          <w:b/>
          <w:szCs w:val="22"/>
        </w:rPr>
      </w:pPr>
    </w:p>
    <w:tbl>
      <w:tblPr>
        <w:tblStyle w:val="PlainTable4"/>
        <w:tblW w:w="0" w:type="auto"/>
        <w:tblLook w:val="04A0" w:firstRow="1" w:lastRow="0" w:firstColumn="1" w:lastColumn="0" w:noHBand="0" w:noVBand="1"/>
      </w:tblPr>
      <w:tblGrid>
        <w:gridCol w:w="4680"/>
        <w:gridCol w:w="4135"/>
      </w:tblGrid>
      <w:tr w:rsidR="00D24A2F" w:rsidRPr="004D2E31" w14:paraId="0E642185" w14:textId="77777777" w:rsidTr="00676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14:paraId="6CF0569F" w14:textId="7022AB05" w:rsidR="00D24A2F" w:rsidRPr="00043089" w:rsidRDefault="00D24A2F" w:rsidP="00D34C2E">
            <w:pPr>
              <w:jc w:val="both"/>
              <w:rPr>
                <w:b/>
                <w:bCs w:val="0"/>
                <w:color w:val="auto"/>
              </w:rPr>
            </w:pPr>
            <w:r w:rsidRPr="00043089">
              <w:rPr>
                <w:b/>
                <w:bCs w:val="0"/>
                <w:color w:val="auto"/>
              </w:rPr>
              <w:t>Effective Date:</w:t>
            </w:r>
            <w:r w:rsidR="0067617D">
              <w:rPr>
                <w:b/>
                <w:bCs w:val="0"/>
                <w:color w:val="auto"/>
              </w:rPr>
              <w:t xml:space="preserve"> </w:t>
            </w:r>
            <w:r w:rsidR="0067617D" w:rsidRPr="0067617D">
              <w:rPr>
                <w:color w:val="auto"/>
              </w:rPr>
              <w:t>11/8/2022</w:t>
            </w:r>
          </w:p>
        </w:tc>
        <w:tc>
          <w:tcPr>
            <w:tcW w:w="4135" w:type="dxa"/>
            <w:shd w:val="clear" w:color="auto" w:fill="auto"/>
          </w:tcPr>
          <w:p w14:paraId="4FB2126A" w14:textId="77777777" w:rsidR="00D24A2F" w:rsidRDefault="00D24A2F" w:rsidP="00D34C2E">
            <w:pPr>
              <w:jc w:val="both"/>
              <w:cnfStyle w:val="100000000000" w:firstRow="1" w:lastRow="0" w:firstColumn="0" w:lastColumn="0" w:oddVBand="0" w:evenVBand="0" w:oddHBand="0" w:evenHBand="0" w:firstRowFirstColumn="0" w:firstRowLastColumn="0" w:lastRowFirstColumn="0" w:lastRowLastColumn="0"/>
              <w:rPr>
                <w:bCs w:val="0"/>
                <w:color w:val="auto"/>
              </w:rPr>
            </w:pPr>
          </w:p>
          <w:p w14:paraId="5B37FFFB" w14:textId="11D2667A" w:rsidR="00A3332A" w:rsidRPr="004D2E31" w:rsidRDefault="00A3332A" w:rsidP="00D34C2E">
            <w:pPr>
              <w:jc w:val="both"/>
              <w:cnfStyle w:val="100000000000" w:firstRow="1" w:lastRow="0" w:firstColumn="0" w:lastColumn="0" w:oddVBand="0" w:evenVBand="0" w:oddHBand="0" w:evenHBand="0" w:firstRowFirstColumn="0" w:firstRowLastColumn="0" w:lastRowFirstColumn="0" w:lastRowLastColumn="0"/>
              <w:rPr>
                <w:color w:val="auto"/>
              </w:rPr>
            </w:pPr>
          </w:p>
        </w:tc>
      </w:tr>
      <w:tr w:rsidR="00D24A2F" w:rsidRPr="004D2E31" w14:paraId="5737C1FE" w14:textId="77777777" w:rsidTr="00676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14:paraId="32669CEC" w14:textId="56FC533F" w:rsidR="00D24A2F" w:rsidRPr="00043089" w:rsidRDefault="00D24A2F" w:rsidP="00D34C2E">
            <w:pPr>
              <w:jc w:val="both"/>
              <w:rPr>
                <w:bCs w:val="0"/>
                <w:color w:val="auto"/>
              </w:rPr>
            </w:pPr>
            <w:r w:rsidRPr="00043089">
              <w:rPr>
                <w:bCs w:val="0"/>
                <w:color w:val="auto"/>
              </w:rPr>
              <w:t xml:space="preserve">Supersedes: </w:t>
            </w:r>
            <w:r w:rsidR="00EB5806">
              <w:rPr>
                <w:bCs w:val="0"/>
                <w:color w:val="auto"/>
              </w:rPr>
              <w:t xml:space="preserve"> </w:t>
            </w:r>
            <w:r w:rsidR="00EB5806" w:rsidRPr="00EB5806">
              <w:rPr>
                <w:b w:val="0"/>
                <w:color w:val="auto"/>
              </w:rPr>
              <w:t>N/A</w:t>
            </w:r>
          </w:p>
        </w:tc>
        <w:tc>
          <w:tcPr>
            <w:tcW w:w="4135" w:type="dxa"/>
            <w:shd w:val="clear" w:color="auto" w:fill="auto"/>
          </w:tcPr>
          <w:p w14:paraId="259EC6A7" w14:textId="4381C218" w:rsidR="00D24A2F" w:rsidRPr="004D2E31" w:rsidRDefault="00D24A2F" w:rsidP="00D34C2E">
            <w:pPr>
              <w:jc w:val="both"/>
              <w:cnfStyle w:val="000000100000" w:firstRow="0" w:lastRow="0" w:firstColumn="0" w:lastColumn="0" w:oddVBand="0" w:evenVBand="0" w:oddHBand="1" w:evenHBand="0" w:firstRowFirstColumn="0" w:firstRowLastColumn="0" w:lastRowFirstColumn="0" w:lastRowLastColumn="0"/>
              <w:rPr>
                <w:color w:val="auto"/>
              </w:rPr>
            </w:pPr>
          </w:p>
        </w:tc>
      </w:tr>
      <w:tr w:rsidR="00D24A2F" w:rsidRPr="004D2E31" w14:paraId="49F78247" w14:textId="77777777" w:rsidTr="0067617D">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14:paraId="111A1880" w14:textId="2E25B721" w:rsidR="00D24A2F" w:rsidRPr="007A7BCB" w:rsidRDefault="00D24A2F" w:rsidP="00D34C2E">
            <w:pPr>
              <w:jc w:val="both"/>
              <w:rPr>
                <w:b w:val="0"/>
                <w:bCs w:val="0"/>
                <w:color w:val="auto"/>
              </w:rPr>
            </w:pPr>
            <w:r w:rsidRPr="004D2E31">
              <w:rPr>
                <w:color w:val="auto"/>
              </w:rPr>
              <w:t>Issuing Authority:</w:t>
            </w:r>
            <w:r w:rsidR="007A7BCB">
              <w:rPr>
                <w:color w:val="auto"/>
              </w:rPr>
              <w:t xml:space="preserve"> </w:t>
            </w:r>
            <w:r w:rsidR="0067617D" w:rsidRPr="0067617D">
              <w:rPr>
                <w:b w:val="0"/>
                <w:bCs w:val="0"/>
                <w:color w:val="auto"/>
              </w:rPr>
              <w:t>University Compliance</w:t>
            </w:r>
          </w:p>
        </w:tc>
        <w:tc>
          <w:tcPr>
            <w:tcW w:w="4135" w:type="dxa"/>
            <w:shd w:val="clear" w:color="auto" w:fill="auto"/>
          </w:tcPr>
          <w:p w14:paraId="312A9734" w14:textId="677770B0" w:rsidR="00D24A2F" w:rsidRPr="004D2E31" w:rsidRDefault="00D24A2F" w:rsidP="00D34C2E">
            <w:pPr>
              <w:tabs>
                <w:tab w:val="left" w:pos="1980"/>
              </w:tabs>
              <w:jc w:val="both"/>
              <w:cnfStyle w:val="000000000000" w:firstRow="0" w:lastRow="0" w:firstColumn="0" w:lastColumn="0" w:oddVBand="0" w:evenVBand="0" w:oddHBand="0" w:evenHBand="0" w:firstRowFirstColumn="0" w:firstRowLastColumn="0" w:lastRowFirstColumn="0" w:lastRowLastColumn="0"/>
              <w:rPr>
                <w:color w:val="auto"/>
              </w:rPr>
            </w:pPr>
          </w:p>
        </w:tc>
      </w:tr>
      <w:tr w:rsidR="00D24A2F" w:rsidRPr="004D2E31" w14:paraId="1F107926" w14:textId="77777777" w:rsidTr="00676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14:paraId="374DB636" w14:textId="47937D5A" w:rsidR="00D24A2F" w:rsidRPr="004D2E31" w:rsidRDefault="00D24A2F" w:rsidP="00D34C2E">
            <w:pPr>
              <w:jc w:val="both"/>
              <w:rPr>
                <w:color w:val="auto"/>
              </w:rPr>
            </w:pPr>
            <w:r w:rsidRPr="004D2E31">
              <w:rPr>
                <w:color w:val="auto"/>
              </w:rPr>
              <w:t>Responsible Office</w:t>
            </w:r>
            <w:r>
              <w:rPr>
                <w:color w:val="auto"/>
              </w:rPr>
              <w:t>r</w:t>
            </w:r>
            <w:r w:rsidRPr="004D2E31">
              <w:rPr>
                <w:color w:val="auto"/>
              </w:rPr>
              <w:t>:</w:t>
            </w:r>
            <w:r w:rsidR="0067617D">
              <w:rPr>
                <w:color w:val="auto"/>
              </w:rPr>
              <w:t xml:space="preserve">  </w:t>
            </w:r>
            <w:r w:rsidR="00025686" w:rsidRPr="00025686">
              <w:rPr>
                <w:b w:val="0"/>
                <w:bCs w:val="0"/>
                <w:color w:val="auto"/>
              </w:rPr>
              <w:t>Chief Compliance Officer</w:t>
            </w:r>
          </w:p>
        </w:tc>
        <w:tc>
          <w:tcPr>
            <w:tcW w:w="4135" w:type="dxa"/>
            <w:shd w:val="clear" w:color="auto" w:fill="auto"/>
          </w:tcPr>
          <w:p w14:paraId="3B53F5FB" w14:textId="6C2AF59D" w:rsidR="00D24A2F" w:rsidRPr="004D2E31" w:rsidRDefault="00D24A2F" w:rsidP="00D34C2E">
            <w:pPr>
              <w:jc w:val="both"/>
              <w:cnfStyle w:val="000000100000" w:firstRow="0" w:lastRow="0" w:firstColumn="0" w:lastColumn="0" w:oddVBand="0" w:evenVBand="0" w:oddHBand="1" w:evenHBand="0" w:firstRowFirstColumn="0" w:firstRowLastColumn="0" w:lastRowFirstColumn="0" w:lastRowLastColumn="0"/>
              <w:rPr>
                <w:color w:val="auto"/>
              </w:rPr>
            </w:pPr>
          </w:p>
        </w:tc>
      </w:tr>
    </w:tbl>
    <w:p w14:paraId="56046DE9" w14:textId="77777777" w:rsidR="00D24A2F" w:rsidRPr="00726CA3" w:rsidRDefault="00D24A2F" w:rsidP="00D34C2E">
      <w:pPr>
        <w:jc w:val="both"/>
        <w:rPr>
          <w:b/>
          <w:szCs w:val="22"/>
        </w:rPr>
      </w:pPr>
    </w:p>
    <w:p w14:paraId="02F96BF3" w14:textId="77777777" w:rsidR="00D24A2F" w:rsidRPr="00726CA3" w:rsidRDefault="00D24A2F" w:rsidP="00D34C2E">
      <w:pPr>
        <w:pStyle w:val="Heading4"/>
        <w:pBdr>
          <w:bottom w:val="single" w:sz="6" w:space="1" w:color="auto"/>
        </w:pBdr>
        <w:jc w:val="both"/>
        <w:rPr>
          <w:szCs w:val="22"/>
        </w:rPr>
      </w:pPr>
      <w:r>
        <w:rPr>
          <w:szCs w:val="22"/>
        </w:rPr>
        <w:t>I.</w:t>
      </w:r>
      <w:r>
        <w:rPr>
          <w:szCs w:val="22"/>
        </w:rPr>
        <w:tab/>
        <w:t>Policy Statement</w:t>
      </w:r>
    </w:p>
    <w:p w14:paraId="35AEF6C3" w14:textId="42AF6090" w:rsidR="00D24A2F" w:rsidRDefault="006014C9" w:rsidP="00D34C2E">
      <w:pPr>
        <w:pStyle w:val="ListBullet"/>
        <w:numPr>
          <w:ilvl w:val="0"/>
          <w:numId w:val="0"/>
        </w:numPr>
        <w:jc w:val="both"/>
        <w:rPr>
          <w:sz w:val="22"/>
          <w:szCs w:val="22"/>
        </w:rPr>
      </w:pPr>
      <w:r w:rsidRPr="006014C9">
        <w:rPr>
          <w:sz w:val="22"/>
          <w:szCs w:val="22"/>
        </w:rPr>
        <w:t>It is the policy of The University of Tulsa to design and establish a fundamental institutional commitment to environmental responsibility and to implement methods to reduce energy consumption and related costs while maintaining a comfortable environment in campus facilities.</w:t>
      </w:r>
    </w:p>
    <w:p w14:paraId="4C836D63" w14:textId="77777777" w:rsidR="004A06C1" w:rsidRPr="004A06C1" w:rsidRDefault="004A06C1" w:rsidP="00D34C2E">
      <w:pPr>
        <w:jc w:val="both"/>
        <w:rPr>
          <w:rFonts w:eastAsia="Times New Roman" w:cstheme="minorHAnsi"/>
          <w:szCs w:val="22"/>
        </w:rPr>
      </w:pPr>
    </w:p>
    <w:p w14:paraId="143D5423" w14:textId="77777777" w:rsidR="00D24A2F" w:rsidRPr="00726CA3" w:rsidRDefault="00D24A2F" w:rsidP="00D34C2E">
      <w:pPr>
        <w:pStyle w:val="ListBullet"/>
        <w:numPr>
          <w:ilvl w:val="0"/>
          <w:numId w:val="0"/>
        </w:numPr>
        <w:pBdr>
          <w:bottom w:val="single" w:sz="6" w:space="1" w:color="auto"/>
        </w:pBdr>
        <w:jc w:val="both"/>
        <w:rPr>
          <w:b/>
          <w:sz w:val="22"/>
          <w:szCs w:val="22"/>
        </w:rPr>
      </w:pPr>
      <w:r>
        <w:rPr>
          <w:b/>
          <w:sz w:val="22"/>
          <w:szCs w:val="22"/>
        </w:rPr>
        <w:t>II.</w:t>
      </w:r>
      <w:r>
        <w:rPr>
          <w:b/>
          <w:sz w:val="22"/>
          <w:szCs w:val="22"/>
        </w:rPr>
        <w:tab/>
        <w:t>Application</w:t>
      </w:r>
    </w:p>
    <w:p w14:paraId="0FD17D2A" w14:textId="503B5C6E" w:rsidR="00D24A2F" w:rsidRDefault="003E60E0" w:rsidP="00D34C2E">
      <w:pPr>
        <w:pStyle w:val="ListBullet"/>
        <w:numPr>
          <w:ilvl w:val="0"/>
          <w:numId w:val="0"/>
        </w:numPr>
        <w:jc w:val="both"/>
        <w:rPr>
          <w:sz w:val="22"/>
          <w:szCs w:val="22"/>
        </w:rPr>
      </w:pPr>
      <w:r w:rsidRPr="003E60E0">
        <w:rPr>
          <w:sz w:val="22"/>
          <w:szCs w:val="22"/>
        </w:rPr>
        <w:t xml:space="preserve">This policy is relevant to the entirety of Facilities Management and all University </w:t>
      </w:r>
      <w:r>
        <w:rPr>
          <w:sz w:val="22"/>
          <w:szCs w:val="22"/>
        </w:rPr>
        <w:t>propertie</w:t>
      </w:r>
      <w:r w:rsidRPr="003E60E0">
        <w:rPr>
          <w:sz w:val="22"/>
          <w:szCs w:val="22"/>
        </w:rPr>
        <w:t>s</w:t>
      </w:r>
      <w:r>
        <w:rPr>
          <w:sz w:val="22"/>
          <w:szCs w:val="22"/>
        </w:rPr>
        <w:t xml:space="preserve">.  </w:t>
      </w:r>
      <w:r w:rsidR="00AF1D44" w:rsidRPr="00AF1D44">
        <w:rPr>
          <w:sz w:val="22"/>
          <w:szCs w:val="22"/>
        </w:rPr>
        <w:t>The purpose of this energy policy is to establish the framework for acceptable protocols, practices, and operational standards with regards to energy conservation practices within University of Tulsa facilities.</w:t>
      </w:r>
    </w:p>
    <w:p w14:paraId="31BFF3B8" w14:textId="1DEFA8A6" w:rsidR="00EE656C" w:rsidRDefault="00EE656C" w:rsidP="00D34C2E">
      <w:pPr>
        <w:pStyle w:val="ListBullet"/>
        <w:numPr>
          <w:ilvl w:val="0"/>
          <w:numId w:val="0"/>
        </w:numPr>
        <w:spacing w:line="240" w:lineRule="auto"/>
        <w:jc w:val="both"/>
        <w:rPr>
          <w:sz w:val="22"/>
          <w:szCs w:val="22"/>
        </w:rPr>
      </w:pPr>
    </w:p>
    <w:p w14:paraId="72BB5B71" w14:textId="77777777" w:rsidR="00D24A2F" w:rsidRPr="00C30074" w:rsidRDefault="00D24A2F" w:rsidP="00D34C2E">
      <w:pPr>
        <w:pStyle w:val="ListBullet"/>
        <w:numPr>
          <w:ilvl w:val="0"/>
          <w:numId w:val="0"/>
        </w:numPr>
        <w:pBdr>
          <w:bottom w:val="single" w:sz="6" w:space="1" w:color="auto"/>
        </w:pBdr>
        <w:jc w:val="both"/>
        <w:rPr>
          <w:b/>
          <w:bCs/>
          <w:sz w:val="22"/>
          <w:szCs w:val="22"/>
        </w:rPr>
      </w:pPr>
      <w:r>
        <w:rPr>
          <w:b/>
          <w:bCs/>
          <w:sz w:val="22"/>
          <w:szCs w:val="22"/>
        </w:rPr>
        <w:t>III.</w:t>
      </w:r>
      <w:r>
        <w:rPr>
          <w:b/>
          <w:bCs/>
          <w:sz w:val="22"/>
          <w:szCs w:val="22"/>
        </w:rPr>
        <w:tab/>
      </w:r>
      <w:r w:rsidRPr="00C30074">
        <w:rPr>
          <w:b/>
          <w:bCs/>
          <w:sz w:val="22"/>
          <w:szCs w:val="22"/>
        </w:rPr>
        <w:t>Definitions</w:t>
      </w:r>
    </w:p>
    <w:p w14:paraId="1712FA2E" w14:textId="77777777" w:rsidR="00C23A4E" w:rsidRDefault="00C23A4E" w:rsidP="00D34C2E">
      <w:pPr>
        <w:jc w:val="both"/>
        <w:textAlignment w:val="baseline"/>
        <w:rPr>
          <w:rFonts w:eastAsia="Times New Roman" w:cstheme="minorHAnsi"/>
          <w:b/>
          <w:bCs/>
          <w:szCs w:val="22"/>
          <w:u w:val="single"/>
          <w:bdr w:val="none" w:sz="0" w:space="0" w:color="auto" w:frame="1"/>
        </w:rPr>
      </w:pPr>
    </w:p>
    <w:p w14:paraId="303CD599" w14:textId="0F04160A" w:rsidR="00E87DC4" w:rsidRDefault="009B4233" w:rsidP="00D34C2E">
      <w:pPr>
        <w:jc w:val="both"/>
        <w:textAlignment w:val="baseline"/>
        <w:rPr>
          <w:rFonts w:eastAsia="Times New Roman" w:cstheme="minorHAnsi"/>
          <w:szCs w:val="22"/>
          <w:bdr w:val="none" w:sz="0" w:space="0" w:color="auto" w:frame="1"/>
        </w:rPr>
      </w:pPr>
      <w:r w:rsidRPr="004B2318">
        <w:rPr>
          <w:rFonts w:eastAsia="Times New Roman" w:cstheme="minorHAnsi"/>
          <w:b/>
          <w:bCs/>
          <w:szCs w:val="22"/>
          <w:bdr w:val="none" w:sz="0" w:space="0" w:color="auto" w:frame="1"/>
        </w:rPr>
        <w:t>Energy use intensity (EUI)</w:t>
      </w:r>
      <w:r w:rsidRPr="009B4233">
        <w:rPr>
          <w:rFonts w:eastAsia="Times New Roman" w:cstheme="minorHAnsi"/>
          <w:szCs w:val="22"/>
          <w:bdr w:val="none" w:sz="0" w:space="0" w:color="auto" w:frame="1"/>
        </w:rPr>
        <w:t xml:space="preserve"> expresses a building’s energy use as a function of its size or other characteristics. EUI is expressed as energy per square foot per year. It is calculated by dividing the total energy consumed by the building in one year (measured in thousand British thermal units (</w:t>
      </w:r>
      <w:proofErr w:type="spellStart"/>
      <w:r w:rsidRPr="009B4233">
        <w:rPr>
          <w:rFonts w:eastAsia="Times New Roman" w:cstheme="minorHAnsi"/>
          <w:szCs w:val="22"/>
          <w:bdr w:val="none" w:sz="0" w:space="0" w:color="auto" w:frame="1"/>
        </w:rPr>
        <w:t>kBtu</w:t>
      </w:r>
      <w:proofErr w:type="spellEnd"/>
      <w:r w:rsidRPr="009B4233">
        <w:rPr>
          <w:rFonts w:eastAsia="Times New Roman" w:cstheme="minorHAnsi"/>
          <w:szCs w:val="22"/>
          <w:bdr w:val="none" w:sz="0" w:space="0" w:color="auto" w:frame="1"/>
        </w:rPr>
        <w:t>) by the total gross floor area of the building.</w:t>
      </w:r>
    </w:p>
    <w:p w14:paraId="0665FFD5" w14:textId="77777777" w:rsidR="008E0DE3" w:rsidRPr="009B4233" w:rsidRDefault="008E0DE3" w:rsidP="00D34C2E">
      <w:pPr>
        <w:jc w:val="both"/>
        <w:textAlignment w:val="baseline"/>
        <w:rPr>
          <w:rFonts w:eastAsia="Times New Roman" w:cstheme="minorHAnsi"/>
          <w:szCs w:val="22"/>
          <w:bdr w:val="none" w:sz="0" w:space="0" w:color="auto" w:frame="1"/>
        </w:rPr>
      </w:pPr>
    </w:p>
    <w:p w14:paraId="1DFB29E8" w14:textId="348ED7BF" w:rsidR="000445A5" w:rsidRDefault="000445A5" w:rsidP="00D34C2E">
      <w:pPr>
        <w:jc w:val="both"/>
        <w:rPr>
          <w:rFonts w:eastAsia="Times New Roman" w:cstheme="minorHAnsi"/>
          <w:szCs w:val="22"/>
          <w:bdr w:val="none" w:sz="0" w:space="0" w:color="auto" w:frame="1"/>
        </w:rPr>
      </w:pPr>
      <w:r w:rsidRPr="004B2318">
        <w:rPr>
          <w:rFonts w:eastAsia="Times New Roman" w:cstheme="minorHAnsi"/>
          <w:b/>
          <w:bCs/>
          <w:szCs w:val="22"/>
          <w:bdr w:val="none" w:sz="0" w:space="0" w:color="auto" w:frame="1"/>
        </w:rPr>
        <w:t>Retro-commissioning</w:t>
      </w:r>
      <w:r w:rsidRPr="000445A5">
        <w:rPr>
          <w:rFonts w:eastAsia="Times New Roman" w:cstheme="minorHAnsi"/>
          <w:szCs w:val="22"/>
          <w:bdr w:val="none" w:sz="0" w:space="0" w:color="auto" w:frame="1"/>
        </w:rPr>
        <w:t xml:space="preserve"> </w:t>
      </w:r>
      <w:r w:rsidR="00FB6C42">
        <w:rPr>
          <w:rFonts w:eastAsia="Times New Roman" w:cstheme="minorHAnsi"/>
          <w:szCs w:val="22"/>
          <w:bdr w:val="none" w:sz="0" w:space="0" w:color="auto" w:frame="1"/>
        </w:rPr>
        <w:t xml:space="preserve">is </w:t>
      </w:r>
      <w:r w:rsidRPr="000445A5">
        <w:rPr>
          <w:rFonts w:eastAsia="Times New Roman" w:cstheme="minorHAnsi"/>
          <w:szCs w:val="22"/>
          <w:bdr w:val="none" w:sz="0" w:space="0" w:color="auto" w:frame="1"/>
        </w:rPr>
        <w:t>a systematic process to improve an existing building’s performance. Using a whole-building systems approach, retro-commissioning seeks to identify operational improvements that will increase occupant comfort and save energy.</w:t>
      </w:r>
    </w:p>
    <w:p w14:paraId="16C92C04" w14:textId="77777777" w:rsidR="000445A5" w:rsidRPr="000445A5" w:rsidRDefault="000445A5" w:rsidP="00D34C2E">
      <w:pPr>
        <w:jc w:val="both"/>
        <w:rPr>
          <w:rFonts w:eastAsia="Times New Roman" w:cstheme="minorHAnsi"/>
          <w:szCs w:val="22"/>
          <w:bdr w:val="none" w:sz="0" w:space="0" w:color="auto" w:frame="1"/>
        </w:rPr>
      </w:pPr>
    </w:p>
    <w:p w14:paraId="336EA01F" w14:textId="463B375E" w:rsidR="000B2693" w:rsidRDefault="000445A5" w:rsidP="00D34C2E">
      <w:pPr>
        <w:jc w:val="both"/>
        <w:rPr>
          <w:rFonts w:eastAsia="Times New Roman" w:cstheme="minorHAnsi"/>
          <w:szCs w:val="22"/>
          <w:bdr w:val="none" w:sz="0" w:space="0" w:color="auto" w:frame="1"/>
        </w:rPr>
      </w:pPr>
      <w:r w:rsidRPr="004B2318">
        <w:rPr>
          <w:rFonts w:eastAsia="Times New Roman" w:cstheme="minorHAnsi"/>
          <w:b/>
          <w:bCs/>
          <w:szCs w:val="22"/>
          <w:bdr w:val="none" w:sz="0" w:space="0" w:color="auto" w:frame="1"/>
        </w:rPr>
        <w:t>Measurement and verification</w:t>
      </w:r>
      <w:r w:rsidRPr="000445A5">
        <w:rPr>
          <w:rFonts w:eastAsia="Times New Roman" w:cstheme="minorHAnsi"/>
          <w:szCs w:val="22"/>
          <w:bdr w:val="none" w:sz="0" w:space="0" w:color="auto" w:frame="1"/>
        </w:rPr>
        <w:t xml:space="preserve"> </w:t>
      </w:r>
      <w:proofErr w:type="gramStart"/>
      <w:r w:rsidR="00FB6C42">
        <w:rPr>
          <w:rFonts w:eastAsia="Times New Roman" w:cstheme="minorHAnsi"/>
          <w:szCs w:val="22"/>
          <w:bdr w:val="none" w:sz="0" w:space="0" w:color="auto" w:frame="1"/>
        </w:rPr>
        <w:t>is</w:t>
      </w:r>
      <w:proofErr w:type="gramEnd"/>
      <w:r w:rsidR="00FB6C42">
        <w:rPr>
          <w:rFonts w:eastAsia="Times New Roman" w:cstheme="minorHAnsi"/>
          <w:szCs w:val="22"/>
          <w:bdr w:val="none" w:sz="0" w:space="0" w:color="auto" w:frame="1"/>
        </w:rPr>
        <w:t xml:space="preserve"> </w:t>
      </w:r>
      <w:r w:rsidRPr="000445A5">
        <w:rPr>
          <w:rFonts w:eastAsia="Times New Roman" w:cstheme="minorHAnsi"/>
          <w:szCs w:val="22"/>
          <w:bdr w:val="none" w:sz="0" w:space="0" w:color="auto" w:frame="1"/>
        </w:rPr>
        <w:t>the process for quantifying savings delivered by an energy efficiency measure.</w:t>
      </w:r>
    </w:p>
    <w:p w14:paraId="27888F71" w14:textId="77777777" w:rsidR="000445A5" w:rsidRDefault="000445A5" w:rsidP="00D34C2E">
      <w:pPr>
        <w:jc w:val="both"/>
        <w:rPr>
          <w:rFonts w:eastAsia="Times New Roman" w:cstheme="minorHAnsi"/>
          <w:szCs w:val="22"/>
          <w:bdr w:val="none" w:sz="0" w:space="0" w:color="auto" w:frame="1"/>
        </w:rPr>
      </w:pPr>
    </w:p>
    <w:p w14:paraId="6C56B8B0" w14:textId="77777777" w:rsidR="000445A5" w:rsidRPr="00811A40" w:rsidRDefault="000445A5" w:rsidP="00D34C2E">
      <w:pPr>
        <w:jc w:val="both"/>
      </w:pPr>
    </w:p>
    <w:p w14:paraId="32B6F591" w14:textId="77777777" w:rsidR="00D24A2F" w:rsidRPr="00E00754" w:rsidRDefault="00D24A2F" w:rsidP="00D34C2E">
      <w:pPr>
        <w:pStyle w:val="Heading4"/>
        <w:pBdr>
          <w:bottom w:val="single" w:sz="6" w:space="1" w:color="auto"/>
        </w:pBdr>
        <w:jc w:val="both"/>
        <w:rPr>
          <w:bCs/>
          <w:szCs w:val="22"/>
        </w:rPr>
      </w:pPr>
      <w:r>
        <w:rPr>
          <w:bCs/>
          <w:szCs w:val="22"/>
        </w:rPr>
        <w:t>IV.</w:t>
      </w:r>
      <w:r>
        <w:rPr>
          <w:bCs/>
          <w:szCs w:val="22"/>
        </w:rPr>
        <w:tab/>
      </w:r>
      <w:r w:rsidRPr="00E00754">
        <w:rPr>
          <w:bCs/>
          <w:szCs w:val="22"/>
        </w:rPr>
        <w:t>Policy and Procedures</w:t>
      </w:r>
    </w:p>
    <w:p w14:paraId="0193F829" w14:textId="24A3E356" w:rsidR="007835AC" w:rsidRDefault="007835AC" w:rsidP="00D34C2E">
      <w:pPr>
        <w:spacing w:after="6" w:line="242" w:lineRule="auto"/>
        <w:jc w:val="both"/>
      </w:pPr>
    </w:p>
    <w:p w14:paraId="7A853A0F" w14:textId="35045DA8" w:rsidR="00872219" w:rsidRDefault="002343DC" w:rsidP="00D34C2E">
      <w:pPr>
        <w:pStyle w:val="ListParagraph"/>
        <w:numPr>
          <w:ilvl w:val="0"/>
          <w:numId w:val="26"/>
        </w:numPr>
        <w:spacing w:after="6" w:line="242" w:lineRule="auto"/>
        <w:jc w:val="both"/>
      </w:pPr>
      <w:r w:rsidRPr="002343DC">
        <w:t xml:space="preserve">All University of Tulsa buildings and facilities will be operated in the most energy efficient and integrated manner so that we can focus our energy strategies on constructing and maintaining a university that educates, </w:t>
      </w:r>
      <w:proofErr w:type="gramStart"/>
      <w:r w:rsidRPr="002343DC">
        <w:t>enriches</w:t>
      </w:r>
      <w:proofErr w:type="gramEnd"/>
      <w:r w:rsidRPr="002343DC">
        <w:t xml:space="preserve"> and engages.</w:t>
      </w:r>
    </w:p>
    <w:p w14:paraId="3EC5775E" w14:textId="77777777" w:rsidR="00FB6C42" w:rsidRDefault="00FB6C42" w:rsidP="00D34C2E">
      <w:pPr>
        <w:spacing w:after="6" w:line="242" w:lineRule="auto"/>
        <w:jc w:val="both"/>
      </w:pPr>
    </w:p>
    <w:p w14:paraId="0E928EFA" w14:textId="621112DC" w:rsidR="00404F3C" w:rsidRDefault="00404F3C" w:rsidP="00D34C2E">
      <w:pPr>
        <w:pStyle w:val="ListParagraph"/>
        <w:numPr>
          <w:ilvl w:val="0"/>
          <w:numId w:val="26"/>
        </w:numPr>
        <w:spacing w:after="6" w:line="242" w:lineRule="auto"/>
        <w:jc w:val="both"/>
      </w:pPr>
      <w:r w:rsidRPr="00404F3C">
        <w:lastRenderedPageBreak/>
        <w:t>The University will demonstrate commitment to our community and leadership in our industry by reducing environmental impacts associated with our building energy use.</w:t>
      </w:r>
    </w:p>
    <w:p w14:paraId="3F9BBED7" w14:textId="77777777" w:rsidR="00CA298F" w:rsidRDefault="00CA298F" w:rsidP="00D34C2E">
      <w:pPr>
        <w:spacing w:after="6" w:line="242" w:lineRule="auto"/>
        <w:jc w:val="both"/>
      </w:pPr>
    </w:p>
    <w:p w14:paraId="05EFEA2D" w14:textId="24508219" w:rsidR="00CA298F" w:rsidRDefault="00CA298F" w:rsidP="00D34C2E">
      <w:pPr>
        <w:pStyle w:val="ListParagraph"/>
        <w:numPr>
          <w:ilvl w:val="0"/>
          <w:numId w:val="26"/>
        </w:numPr>
        <w:spacing w:after="6" w:line="242" w:lineRule="auto"/>
        <w:jc w:val="both"/>
      </w:pPr>
      <w:r>
        <w:t xml:space="preserve">The University will set and publish energy performance targets and will monitor and evaluate performance levels </w:t>
      </w:r>
      <w:proofErr w:type="gramStart"/>
      <w:r>
        <w:t>on a monthly basis</w:t>
      </w:r>
      <w:proofErr w:type="gramEnd"/>
      <w:r>
        <w:t xml:space="preserve"> as part of the Facilities Management business review. Energy conservation goals will be revisited annually to evaluate operational challenges and opportunities that will impact performance in the longer term.</w:t>
      </w:r>
    </w:p>
    <w:p w14:paraId="2CDD7E90" w14:textId="77777777" w:rsidR="00CA298F" w:rsidRDefault="00CA298F" w:rsidP="00D34C2E">
      <w:pPr>
        <w:spacing w:after="6" w:line="242" w:lineRule="auto"/>
        <w:jc w:val="both"/>
      </w:pPr>
    </w:p>
    <w:p w14:paraId="5FF770E6" w14:textId="4386FE7B" w:rsidR="00CA298F" w:rsidRDefault="00CA298F" w:rsidP="00D34C2E">
      <w:pPr>
        <w:pStyle w:val="ListParagraph"/>
        <w:numPr>
          <w:ilvl w:val="0"/>
          <w:numId w:val="26"/>
        </w:numPr>
        <w:spacing w:after="6" w:line="242" w:lineRule="auto"/>
        <w:jc w:val="both"/>
      </w:pPr>
      <w:r>
        <w:t>All buildings will continue to target energy efficiency improvement measures to the greatest extent possible through ongoing Strategic Energy Management planning and retro-commissioning. The University will undertake all necessary steps to fund efficiency strategies, and upon securing available funds, expeditiously implement identified measures. All implemented improvement measures will undergo a pre and post measurement and verification process.</w:t>
      </w:r>
    </w:p>
    <w:p w14:paraId="5566475F" w14:textId="77777777" w:rsidR="00CA298F" w:rsidRDefault="00CA298F" w:rsidP="00D34C2E">
      <w:pPr>
        <w:spacing w:after="6" w:line="242" w:lineRule="auto"/>
        <w:jc w:val="both"/>
      </w:pPr>
    </w:p>
    <w:p w14:paraId="32B31C5E" w14:textId="4321A3FD" w:rsidR="00CA298F" w:rsidRDefault="00CA298F" w:rsidP="00D34C2E">
      <w:pPr>
        <w:pStyle w:val="ListParagraph"/>
        <w:numPr>
          <w:ilvl w:val="0"/>
          <w:numId w:val="26"/>
        </w:numPr>
        <w:spacing w:after="6" w:line="242" w:lineRule="auto"/>
        <w:jc w:val="both"/>
      </w:pPr>
      <w:r>
        <w:t>The University will promote the use of cost-effective, renewable energy sources whenever possible, both in new construction and existing building renovations.</w:t>
      </w:r>
    </w:p>
    <w:p w14:paraId="2C0D57C7" w14:textId="77777777" w:rsidR="00CA298F" w:rsidRDefault="00CA298F" w:rsidP="00D34C2E">
      <w:pPr>
        <w:spacing w:after="6" w:line="242" w:lineRule="auto"/>
        <w:jc w:val="both"/>
      </w:pPr>
    </w:p>
    <w:p w14:paraId="1C5422CF" w14:textId="4BE94D61" w:rsidR="00CA298F" w:rsidRDefault="00CA298F" w:rsidP="00D34C2E">
      <w:pPr>
        <w:pStyle w:val="ListParagraph"/>
        <w:numPr>
          <w:ilvl w:val="0"/>
          <w:numId w:val="26"/>
        </w:numPr>
        <w:spacing w:after="6" w:line="242" w:lineRule="auto"/>
        <w:jc w:val="both"/>
      </w:pPr>
      <w:r>
        <w:t>The University of Tulsa will actively seek sources of funding to implement energy efficient improvements and utility infrastructure renewal projects, including federal, state, and private sector grant opportunities. In the event these outside funding sources are unavailable or inadequate to meet project requirements, The University shall review priorities within capital infrastructure funds on an annual basis.</w:t>
      </w:r>
    </w:p>
    <w:p w14:paraId="10A8C895" w14:textId="77777777" w:rsidR="00CA298F" w:rsidRDefault="00CA298F" w:rsidP="00D34C2E">
      <w:pPr>
        <w:spacing w:after="6" w:line="242" w:lineRule="auto"/>
        <w:jc w:val="both"/>
      </w:pPr>
    </w:p>
    <w:p w14:paraId="62C81ED0" w14:textId="17E393C6" w:rsidR="00CA298F" w:rsidRDefault="00CA298F" w:rsidP="00D34C2E">
      <w:pPr>
        <w:pStyle w:val="ListParagraph"/>
        <w:numPr>
          <w:ilvl w:val="0"/>
          <w:numId w:val="26"/>
        </w:numPr>
        <w:spacing w:after="6" w:line="242" w:lineRule="auto"/>
        <w:jc w:val="both"/>
      </w:pPr>
      <w:r>
        <w:t>The University of Tulsa will cooperate with federal, state, and local governments and other organizations (Department of Energy, Environmental Protection Agency, City of Tulsa, and other governing agencies) in accomplishing energy conservation and utility management objectives.</w:t>
      </w:r>
    </w:p>
    <w:p w14:paraId="31959793" w14:textId="77777777" w:rsidR="00CA298F" w:rsidRDefault="00CA298F" w:rsidP="00D34C2E">
      <w:pPr>
        <w:spacing w:after="6" w:line="242" w:lineRule="auto"/>
        <w:jc w:val="both"/>
      </w:pPr>
    </w:p>
    <w:p w14:paraId="3252F392" w14:textId="232A874F" w:rsidR="00CA298F" w:rsidRDefault="00CA298F" w:rsidP="00D34C2E">
      <w:pPr>
        <w:pStyle w:val="ListParagraph"/>
        <w:numPr>
          <w:ilvl w:val="0"/>
          <w:numId w:val="26"/>
        </w:numPr>
        <w:spacing w:after="6" w:line="242" w:lineRule="auto"/>
        <w:jc w:val="both"/>
      </w:pPr>
      <w:r>
        <w:t xml:space="preserve">The University will monitor monthly energy usage for all campuses against energy saving goals and required benchmarks, managing and mitigating energy consumption </w:t>
      </w:r>
      <w:proofErr w:type="gramStart"/>
      <w:r>
        <w:t>in order to</w:t>
      </w:r>
      <w:proofErr w:type="gramEnd"/>
      <w:r>
        <w:t>:</w:t>
      </w:r>
    </w:p>
    <w:p w14:paraId="467085D6" w14:textId="77777777" w:rsidR="00CA298F" w:rsidRDefault="00CA298F" w:rsidP="00D34C2E">
      <w:pPr>
        <w:spacing w:after="6" w:line="242" w:lineRule="auto"/>
        <w:jc w:val="both"/>
      </w:pPr>
    </w:p>
    <w:p w14:paraId="3356F1FF" w14:textId="6FA8DBEF" w:rsidR="00CA298F" w:rsidRDefault="00CA298F" w:rsidP="00D34C2E">
      <w:pPr>
        <w:pStyle w:val="ListParagraph"/>
        <w:numPr>
          <w:ilvl w:val="0"/>
          <w:numId w:val="25"/>
        </w:numPr>
        <w:spacing w:after="120" w:line="242" w:lineRule="auto"/>
        <w:ind w:left="1152" w:hanging="288"/>
        <w:contextualSpacing w:val="0"/>
        <w:jc w:val="both"/>
      </w:pPr>
      <w:r>
        <w:t>Avoid unnecessary expenses,</w:t>
      </w:r>
    </w:p>
    <w:p w14:paraId="298E81D4" w14:textId="179C99A0" w:rsidR="00CA298F" w:rsidRDefault="00CA298F" w:rsidP="00D34C2E">
      <w:pPr>
        <w:pStyle w:val="ListParagraph"/>
        <w:numPr>
          <w:ilvl w:val="0"/>
          <w:numId w:val="25"/>
        </w:numPr>
        <w:spacing w:after="120" w:line="242" w:lineRule="auto"/>
        <w:ind w:left="1152" w:hanging="288"/>
        <w:contextualSpacing w:val="0"/>
        <w:jc w:val="both"/>
      </w:pPr>
      <w:r>
        <w:t>Improve cost-effectiveness, productivity, and working conditions,</w:t>
      </w:r>
    </w:p>
    <w:p w14:paraId="5B1772B6" w14:textId="3CEE53EA" w:rsidR="00CA298F" w:rsidRDefault="00CA298F" w:rsidP="00D34C2E">
      <w:pPr>
        <w:pStyle w:val="ListParagraph"/>
        <w:numPr>
          <w:ilvl w:val="0"/>
          <w:numId w:val="25"/>
        </w:numPr>
        <w:spacing w:after="120" w:line="242" w:lineRule="auto"/>
        <w:ind w:left="1152" w:hanging="288"/>
        <w:contextualSpacing w:val="0"/>
        <w:jc w:val="both"/>
      </w:pPr>
      <w:r>
        <w:t>Reduce greenhouse gas emissions and protect the environment,</w:t>
      </w:r>
    </w:p>
    <w:p w14:paraId="2D98A202" w14:textId="3E206AF4" w:rsidR="00CA298F" w:rsidRDefault="00CA298F" w:rsidP="00D34C2E">
      <w:pPr>
        <w:pStyle w:val="ListParagraph"/>
        <w:numPr>
          <w:ilvl w:val="0"/>
          <w:numId w:val="25"/>
        </w:numPr>
        <w:spacing w:after="120" w:line="242" w:lineRule="auto"/>
        <w:ind w:left="1152" w:hanging="288"/>
        <w:contextualSpacing w:val="0"/>
        <w:jc w:val="both"/>
      </w:pPr>
      <w:r>
        <w:t>Gain control over the university’s energy consumption by reviewing and improving purchasing, operating, motivation and training practices, and</w:t>
      </w:r>
    </w:p>
    <w:p w14:paraId="538C0429" w14:textId="6E52AD09" w:rsidR="00CA298F" w:rsidRDefault="00CA298F" w:rsidP="00D34C2E">
      <w:pPr>
        <w:pStyle w:val="ListParagraph"/>
        <w:numPr>
          <w:ilvl w:val="0"/>
          <w:numId w:val="25"/>
        </w:numPr>
        <w:spacing w:after="120" w:line="242" w:lineRule="auto"/>
        <w:ind w:left="1152" w:hanging="288"/>
        <w:contextualSpacing w:val="0"/>
        <w:jc w:val="both"/>
      </w:pPr>
      <w:r>
        <w:t>Improve faculty, staff, and student awareness and encourage the sharing of experiences and expertise.</w:t>
      </w:r>
    </w:p>
    <w:p w14:paraId="3D888624" w14:textId="04B1505D" w:rsidR="00CA298F" w:rsidRDefault="00CA298F" w:rsidP="00D34C2E">
      <w:pPr>
        <w:pStyle w:val="ListParagraph"/>
        <w:numPr>
          <w:ilvl w:val="0"/>
          <w:numId w:val="25"/>
        </w:numPr>
        <w:spacing w:after="120" w:line="242" w:lineRule="auto"/>
        <w:ind w:left="1152" w:hanging="288"/>
        <w:contextualSpacing w:val="0"/>
        <w:jc w:val="both"/>
      </w:pPr>
      <w:r>
        <w:t>Energy Procurement Strategy</w:t>
      </w:r>
    </w:p>
    <w:p w14:paraId="7CC278AB" w14:textId="77777777" w:rsidR="00CA298F" w:rsidRDefault="00CA298F" w:rsidP="00D34C2E">
      <w:pPr>
        <w:spacing w:after="6" w:line="242" w:lineRule="auto"/>
        <w:jc w:val="both"/>
      </w:pPr>
    </w:p>
    <w:p w14:paraId="398EE679" w14:textId="12B31F3F" w:rsidR="00CA298F" w:rsidRDefault="00CA298F" w:rsidP="00D34C2E">
      <w:pPr>
        <w:pStyle w:val="ListParagraph"/>
        <w:numPr>
          <w:ilvl w:val="0"/>
          <w:numId w:val="26"/>
        </w:numPr>
        <w:spacing w:after="6" w:line="242" w:lineRule="auto"/>
        <w:jc w:val="both"/>
      </w:pPr>
      <w:r>
        <w:lastRenderedPageBreak/>
        <w:t>The University will determine fossil fuels and electricity supply needs, evaluate risk, and develop purchasing strategies to maximize budget certainty, avoid market volatility, and purchase fossil fuels and electricity at the most competitive market prices.</w:t>
      </w:r>
    </w:p>
    <w:p w14:paraId="5706A1B1" w14:textId="77777777" w:rsidR="00CA298F" w:rsidRDefault="00CA298F" w:rsidP="00D34C2E">
      <w:pPr>
        <w:spacing w:after="6" w:line="242" w:lineRule="auto"/>
        <w:jc w:val="both"/>
      </w:pPr>
    </w:p>
    <w:p w14:paraId="68E1CF7F" w14:textId="77777777" w:rsidR="00E93237" w:rsidRDefault="00CA298F" w:rsidP="00D34C2E">
      <w:pPr>
        <w:pStyle w:val="ListParagraph"/>
        <w:numPr>
          <w:ilvl w:val="0"/>
          <w:numId w:val="26"/>
        </w:numPr>
        <w:spacing w:after="6" w:line="242" w:lineRule="auto"/>
        <w:jc w:val="both"/>
      </w:pPr>
      <w:r>
        <w:t>The University will regularly evaluate current operational procedures and recommend future improvements to ensure a continuous and appropriate supply of fossil fuels and electricity is delivered daily to campus facilities and vehicles.</w:t>
      </w:r>
    </w:p>
    <w:p w14:paraId="39E23472" w14:textId="77777777" w:rsidR="00E93237" w:rsidRPr="00E93237" w:rsidRDefault="00E93237" w:rsidP="00D34C2E">
      <w:pPr>
        <w:pStyle w:val="ListParagraph"/>
        <w:jc w:val="both"/>
        <w:rPr>
          <w:rFonts w:cstheme="minorHAnsi"/>
        </w:rPr>
      </w:pPr>
    </w:p>
    <w:p w14:paraId="5DBFFEE7" w14:textId="5F33FF9B" w:rsidR="008E084C" w:rsidRPr="00E93237" w:rsidRDefault="00E93237" w:rsidP="00D34C2E">
      <w:pPr>
        <w:pStyle w:val="ListParagraph"/>
        <w:numPr>
          <w:ilvl w:val="0"/>
          <w:numId w:val="26"/>
        </w:numPr>
        <w:spacing w:after="6" w:line="242" w:lineRule="auto"/>
        <w:jc w:val="both"/>
      </w:pPr>
      <w:r w:rsidRPr="00E93237">
        <w:rPr>
          <w:rFonts w:cstheme="minorHAnsi"/>
        </w:rPr>
        <w:t>The University will</w:t>
      </w:r>
      <w:r w:rsidR="008E084C" w:rsidRPr="00E93237">
        <w:rPr>
          <w:rFonts w:cstheme="minorHAnsi"/>
        </w:rPr>
        <w:t xml:space="preserve"> seek to minimize its environmental footprint and comply with local, </w:t>
      </w:r>
      <w:proofErr w:type="gramStart"/>
      <w:r w:rsidR="008E084C" w:rsidRPr="00E93237">
        <w:rPr>
          <w:rFonts w:cstheme="minorHAnsi"/>
        </w:rPr>
        <w:t>state</w:t>
      </w:r>
      <w:proofErr w:type="gramEnd"/>
      <w:r w:rsidR="008E084C" w:rsidRPr="00E93237">
        <w:rPr>
          <w:rFonts w:cstheme="minorHAnsi"/>
        </w:rPr>
        <w:t xml:space="preserve"> and federal regulations. The Waste Management Guidelines were developed to support the University’s Solid Waste Management Policy, and to engage the campus community, its vendors, contractors, and visitors in proper waste handling. The Waste Management Guidelines apply to recycling practices and generated wastes such as chemicals, municipal solid waste, light bulbs, batteries, mercury-containing equipment, and electronic materials.</w:t>
      </w:r>
    </w:p>
    <w:p w14:paraId="537FEB4F" w14:textId="77777777" w:rsidR="008E084C" w:rsidRDefault="008E084C" w:rsidP="0079575A"/>
    <w:p w14:paraId="042FF864" w14:textId="77777777" w:rsidR="00404F3C" w:rsidRDefault="00404F3C" w:rsidP="00872219">
      <w:pPr>
        <w:spacing w:after="6" w:line="242" w:lineRule="auto"/>
      </w:pPr>
    </w:p>
    <w:p w14:paraId="286C4CFD" w14:textId="55884E28" w:rsidR="00CC3738" w:rsidRDefault="00E51496" w:rsidP="00872219">
      <w:pPr>
        <w:spacing w:after="6" w:line="242" w:lineRule="auto"/>
        <w:rPr>
          <w:b/>
          <w:bCs/>
        </w:rPr>
      </w:pPr>
      <w:r w:rsidRPr="00E51496">
        <w:rPr>
          <w:b/>
          <w:bCs/>
        </w:rPr>
        <w:t>Related Policies</w:t>
      </w:r>
    </w:p>
    <w:p w14:paraId="0E2D5226" w14:textId="77777777" w:rsidR="00B437A7" w:rsidRDefault="00B437A7" w:rsidP="00872219">
      <w:pPr>
        <w:spacing w:after="6" w:line="242" w:lineRule="auto"/>
        <w:rPr>
          <w:b/>
          <w:bCs/>
        </w:rPr>
      </w:pPr>
    </w:p>
    <w:p w14:paraId="47539090" w14:textId="78142D41" w:rsidR="008E0737" w:rsidRPr="008E0737" w:rsidRDefault="008E0737" w:rsidP="00872219">
      <w:pPr>
        <w:spacing w:after="6" w:line="242" w:lineRule="auto"/>
      </w:pPr>
      <w:r w:rsidRPr="008E0737">
        <w:t>Sustainable Waste Management Policy</w:t>
      </w:r>
    </w:p>
    <w:p w14:paraId="17848170" w14:textId="77777777" w:rsidR="004F587B" w:rsidRDefault="004F587B" w:rsidP="00872219">
      <w:pPr>
        <w:spacing w:after="6" w:line="242" w:lineRule="auto"/>
        <w:rPr>
          <w:b/>
          <w:bCs/>
        </w:rPr>
      </w:pPr>
    </w:p>
    <w:p w14:paraId="6212286A" w14:textId="77777777" w:rsidR="004F587B" w:rsidRPr="00E51496" w:rsidRDefault="004F587B" w:rsidP="00872219">
      <w:pPr>
        <w:spacing w:after="6" w:line="242" w:lineRule="auto"/>
        <w:rPr>
          <w:b/>
          <w:bCs/>
        </w:rPr>
      </w:pPr>
    </w:p>
    <w:p w14:paraId="364B4BB6" w14:textId="3071881B" w:rsidR="00872219" w:rsidRDefault="00CC3738" w:rsidP="00872219">
      <w:pPr>
        <w:spacing w:after="6" w:line="242" w:lineRule="auto"/>
        <w:rPr>
          <w:b/>
          <w:bCs/>
        </w:rPr>
      </w:pPr>
      <w:r>
        <w:rPr>
          <w:b/>
          <w:bCs/>
        </w:rPr>
        <w:t>Approval</w:t>
      </w:r>
    </w:p>
    <w:p w14:paraId="43C75701" w14:textId="77777777" w:rsidR="00CC3738" w:rsidRPr="00872219" w:rsidRDefault="00CC3738" w:rsidP="00872219">
      <w:pPr>
        <w:spacing w:after="6" w:line="242" w:lineRule="auto"/>
        <w:rPr>
          <w:b/>
          <w:bCs/>
        </w:rPr>
      </w:pPr>
    </w:p>
    <w:p w14:paraId="646FEB1F" w14:textId="3D5BD2A0" w:rsidR="00D24A2F" w:rsidRPr="00F71B37" w:rsidRDefault="00D24A2F" w:rsidP="00D24A2F">
      <w:r w:rsidRPr="00F71B37">
        <w:t>This Policy is approved by the undersigned and effective as of the date written below. </w:t>
      </w:r>
    </w:p>
    <w:p w14:paraId="5E6D1188" w14:textId="77777777" w:rsidR="00D24A2F" w:rsidRDefault="00D24A2F" w:rsidP="00D24A2F"/>
    <w:p w14:paraId="19468672" w14:textId="77777777" w:rsidR="00D24A2F" w:rsidRPr="00F71B37" w:rsidRDefault="00D24A2F" w:rsidP="00D24A2F">
      <w:r w:rsidRPr="00F71B37">
        <w:t>Approved: </w:t>
      </w:r>
    </w:p>
    <w:p w14:paraId="41A07671" w14:textId="77777777" w:rsidR="00D24A2F" w:rsidRPr="00F71B37" w:rsidRDefault="00D24A2F" w:rsidP="00D24A2F">
      <w:r w:rsidRPr="00F71B37">
        <w:t> </w:t>
      </w:r>
    </w:p>
    <w:p w14:paraId="7D4F5A10" w14:textId="543EA90B" w:rsidR="00552005" w:rsidRDefault="00D24A2F" w:rsidP="00D24A2F">
      <w:r w:rsidRPr="00F71B37">
        <w:t> </w:t>
      </w:r>
      <w:r w:rsidRPr="00F71B37">
        <w:br/>
      </w:r>
      <w:r w:rsidR="00552005">
        <w:t>Matt Warren</w:t>
      </w:r>
      <w:r w:rsidR="0099363B">
        <w:t>, Vice President and CCO</w:t>
      </w:r>
    </w:p>
    <w:p w14:paraId="43EC9B47" w14:textId="3CB10D83" w:rsidR="00D24A2F" w:rsidRPr="00F71B37" w:rsidRDefault="00D24A2F" w:rsidP="00552005">
      <w:r w:rsidRPr="00F71B37">
        <w:t> </w:t>
      </w:r>
      <w:r w:rsidRPr="00F71B37">
        <w:br/>
        <w:t>Date Effective:  </w:t>
      </w:r>
      <w:r w:rsidR="0099363B">
        <w:t>11/</w:t>
      </w:r>
      <w:r w:rsidR="00380160">
        <w:t>08/2022</w:t>
      </w:r>
    </w:p>
    <w:p w14:paraId="670DBE8B" w14:textId="77777777" w:rsidR="00D24A2F" w:rsidRDefault="00D24A2F" w:rsidP="00D24A2F"/>
    <w:p w14:paraId="1553CCD7" w14:textId="77777777" w:rsidR="00D24A2F" w:rsidRPr="00726CA3" w:rsidRDefault="00D24A2F" w:rsidP="00D24A2F">
      <w:pPr>
        <w:rPr>
          <w:szCs w:val="22"/>
        </w:rPr>
      </w:pPr>
    </w:p>
    <w:p w14:paraId="4AE60EA0" w14:textId="77777777" w:rsidR="00D24A2F" w:rsidRPr="00726CA3" w:rsidRDefault="00D24A2F" w:rsidP="00D24A2F">
      <w:pPr>
        <w:pStyle w:val="ListBullet"/>
        <w:numPr>
          <w:ilvl w:val="0"/>
          <w:numId w:val="0"/>
        </w:numPr>
        <w:pBdr>
          <w:bottom w:val="single" w:sz="6" w:space="1" w:color="auto"/>
        </w:pBdr>
        <w:rPr>
          <w:b/>
          <w:sz w:val="22"/>
          <w:szCs w:val="22"/>
        </w:rPr>
      </w:pPr>
      <w:r w:rsidRPr="00726CA3">
        <w:rPr>
          <w:b/>
          <w:sz w:val="22"/>
          <w:szCs w:val="22"/>
        </w:rPr>
        <w:t>Revision</w:t>
      </w:r>
      <w:r>
        <w:rPr>
          <w:b/>
          <w:sz w:val="22"/>
          <w:szCs w:val="22"/>
        </w:rPr>
        <w:t xml:space="preserve"> Record</w:t>
      </w:r>
    </w:p>
    <w:p w14:paraId="76CBE4A4" w14:textId="77777777" w:rsidR="00D24A2F" w:rsidRDefault="00D24A2F" w:rsidP="00D24A2F">
      <w:pPr>
        <w:rPr>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080"/>
        <w:gridCol w:w="6569"/>
      </w:tblGrid>
      <w:tr w:rsidR="00D24A2F" w14:paraId="21FB6132" w14:textId="77777777" w:rsidTr="00B84F5E">
        <w:tc>
          <w:tcPr>
            <w:tcW w:w="1255" w:type="dxa"/>
          </w:tcPr>
          <w:p w14:paraId="070F6397" w14:textId="77777777" w:rsidR="00D24A2F" w:rsidRPr="0007100F" w:rsidRDefault="00D24A2F" w:rsidP="00B84F5E">
            <w:pPr>
              <w:pStyle w:val="Heading4"/>
              <w:outlineLvl w:val="3"/>
              <w:rPr>
                <w:szCs w:val="22"/>
              </w:rPr>
            </w:pPr>
            <w:r w:rsidRPr="0007100F">
              <w:rPr>
                <w:szCs w:val="22"/>
              </w:rPr>
              <w:t>Date</w:t>
            </w:r>
          </w:p>
        </w:tc>
        <w:tc>
          <w:tcPr>
            <w:tcW w:w="1080" w:type="dxa"/>
          </w:tcPr>
          <w:p w14:paraId="746C3CA4" w14:textId="77777777" w:rsidR="00D24A2F" w:rsidRDefault="00D24A2F" w:rsidP="00B84F5E">
            <w:pPr>
              <w:rPr>
                <w:b/>
                <w:szCs w:val="22"/>
              </w:rPr>
            </w:pPr>
            <w:r>
              <w:rPr>
                <w:b/>
                <w:szCs w:val="22"/>
              </w:rPr>
              <w:t>Version</w:t>
            </w:r>
          </w:p>
        </w:tc>
        <w:tc>
          <w:tcPr>
            <w:tcW w:w="6569" w:type="dxa"/>
          </w:tcPr>
          <w:p w14:paraId="775F66E5" w14:textId="77777777" w:rsidR="00D24A2F" w:rsidRDefault="00D24A2F" w:rsidP="00B84F5E">
            <w:pPr>
              <w:rPr>
                <w:b/>
                <w:szCs w:val="22"/>
              </w:rPr>
            </w:pPr>
            <w:r>
              <w:rPr>
                <w:b/>
                <w:szCs w:val="22"/>
              </w:rPr>
              <w:t>Notes</w:t>
            </w:r>
          </w:p>
        </w:tc>
      </w:tr>
      <w:tr w:rsidR="00D24A2F" w14:paraId="3B6F5437" w14:textId="77777777" w:rsidTr="00B84F5E">
        <w:tc>
          <w:tcPr>
            <w:tcW w:w="1255" w:type="dxa"/>
          </w:tcPr>
          <w:p w14:paraId="43CC7456" w14:textId="5E06934A" w:rsidR="00D24A2F" w:rsidRPr="0007100F" w:rsidRDefault="00380160" w:rsidP="00B84F5E">
            <w:pPr>
              <w:pStyle w:val="Heading4"/>
              <w:outlineLvl w:val="3"/>
              <w:rPr>
                <w:b w:val="0"/>
                <w:szCs w:val="22"/>
              </w:rPr>
            </w:pPr>
            <w:r>
              <w:rPr>
                <w:b w:val="0"/>
                <w:szCs w:val="22"/>
              </w:rPr>
              <w:t>11/8/2022</w:t>
            </w:r>
          </w:p>
        </w:tc>
        <w:tc>
          <w:tcPr>
            <w:tcW w:w="1080" w:type="dxa"/>
          </w:tcPr>
          <w:p w14:paraId="1597D16D" w14:textId="4573F864" w:rsidR="00D24A2F" w:rsidRPr="00162EFC" w:rsidRDefault="00380160" w:rsidP="00B84F5E">
            <w:pPr>
              <w:pStyle w:val="Header"/>
              <w:tabs>
                <w:tab w:val="clear" w:pos="4320"/>
                <w:tab w:val="clear" w:pos="8640"/>
              </w:tabs>
              <w:rPr>
                <w:szCs w:val="22"/>
              </w:rPr>
            </w:pPr>
            <w:r>
              <w:rPr>
                <w:szCs w:val="22"/>
              </w:rPr>
              <w:t>Original</w:t>
            </w:r>
          </w:p>
        </w:tc>
        <w:tc>
          <w:tcPr>
            <w:tcW w:w="6569" w:type="dxa"/>
          </w:tcPr>
          <w:p w14:paraId="7C49EF54" w14:textId="6B0ED872" w:rsidR="00D24A2F" w:rsidRPr="0007100F" w:rsidRDefault="00380160" w:rsidP="00B84F5E">
            <w:pPr>
              <w:rPr>
                <w:szCs w:val="22"/>
              </w:rPr>
            </w:pPr>
            <w:r>
              <w:rPr>
                <w:szCs w:val="22"/>
              </w:rPr>
              <w:t>N/A</w:t>
            </w:r>
          </w:p>
        </w:tc>
      </w:tr>
    </w:tbl>
    <w:p w14:paraId="38FE8EA2" w14:textId="77777777" w:rsidR="00D24A2F" w:rsidRPr="004D2E31" w:rsidRDefault="00D24A2F" w:rsidP="00D24A2F">
      <w:pPr>
        <w:pStyle w:val="Header"/>
        <w:tabs>
          <w:tab w:val="clear" w:pos="4320"/>
          <w:tab w:val="clear" w:pos="8640"/>
          <w:tab w:val="left" w:pos="720"/>
        </w:tabs>
        <w:rPr>
          <w:rFonts w:ascii="Times New Roman" w:hAnsi="Times New Roman" w:cs="Times New Roman"/>
        </w:rPr>
      </w:pPr>
    </w:p>
    <w:p w14:paraId="18B2AFBA" w14:textId="77777777" w:rsidR="00D24A2F" w:rsidRDefault="00D24A2F" w:rsidP="00D24A2F">
      <w:pPr>
        <w:pStyle w:val="Header"/>
        <w:rPr>
          <w:rFonts w:ascii="Times New Roman" w:hAnsi="Times New Roman" w:cs="Times New Roman"/>
          <w:i/>
          <w:iCs/>
        </w:rPr>
      </w:pPr>
    </w:p>
    <w:p w14:paraId="363C48FF" w14:textId="3520D652" w:rsidR="003B2F76" w:rsidRPr="00D771F3" w:rsidRDefault="00D24A2F" w:rsidP="00D771F3">
      <w:pPr>
        <w:pStyle w:val="Header"/>
        <w:rPr>
          <w:rFonts w:ascii="Times New Roman" w:hAnsi="Times New Roman" w:cs="Times New Roman"/>
          <w:i/>
          <w:iCs/>
        </w:rPr>
      </w:pPr>
      <w:r w:rsidRPr="00272016">
        <w:rPr>
          <w:rFonts w:ascii="Times New Roman" w:hAnsi="Times New Roman" w:cs="Times New Roman"/>
          <w:i/>
          <w:iCs/>
        </w:rPr>
        <w:t>T</w:t>
      </w:r>
      <w:r w:rsidRPr="26A81646">
        <w:rPr>
          <w:rFonts w:ascii="Times New Roman" w:hAnsi="Times New Roman" w:cs="Times New Roman"/>
          <w:i/>
          <w:iCs/>
        </w:rPr>
        <w:t>his policy is not a contract.  The University of Tulsa reserves the right to modify, revise, rescind or grant exceptions to this policy.</w:t>
      </w:r>
    </w:p>
    <w:sectPr w:rsidR="003B2F76" w:rsidRPr="00D771F3" w:rsidSect="00332CCB">
      <w:headerReference w:type="default" r:id="rId10"/>
      <w:headerReference w:type="first" r:id="rId11"/>
      <w:footerReference w:type="first" r:id="rId12"/>
      <w:pgSz w:w="12240" w:h="15840"/>
      <w:pgMar w:top="2070" w:right="1526" w:bottom="144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52EB" w14:textId="77777777" w:rsidR="0032748B" w:rsidRDefault="0032748B" w:rsidP="00D24A2F">
      <w:r>
        <w:separator/>
      </w:r>
    </w:p>
  </w:endnote>
  <w:endnote w:type="continuationSeparator" w:id="0">
    <w:p w14:paraId="3960CF6C" w14:textId="77777777" w:rsidR="0032748B" w:rsidRDefault="0032748B" w:rsidP="00D2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1"/>
      <w:gridCol w:w="2971"/>
      <w:gridCol w:w="2971"/>
    </w:tblGrid>
    <w:tr w:rsidR="5721A31E" w14:paraId="56945735" w14:textId="77777777" w:rsidTr="5721A31E">
      <w:tc>
        <w:tcPr>
          <w:tcW w:w="2971" w:type="dxa"/>
        </w:tcPr>
        <w:p w14:paraId="595E868B" w14:textId="77777777" w:rsidR="5721A31E" w:rsidRDefault="00D76624" w:rsidP="5721A31E">
          <w:pPr>
            <w:pStyle w:val="Header"/>
            <w:ind w:left="-115"/>
          </w:pPr>
        </w:p>
      </w:tc>
      <w:tc>
        <w:tcPr>
          <w:tcW w:w="2971" w:type="dxa"/>
        </w:tcPr>
        <w:p w14:paraId="1A5C590A" w14:textId="77777777" w:rsidR="5721A31E" w:rsidRDefault="00D76624" w:rsidP="5721A31E">
          <w:pPr>
            <w:pStyle w:val="Header"/>
            <w:jc w:val="center"/>
          </w:pPr>
        </w:p>
      </w:tc>
      <w:tc>
        <w:tcPr>
          <w:tcW w:w="2971" w:type="dxa"/>
        </w:tcPr>
        <w:p w14:paraId="63D0A69A" w14:textId="77777777" w:rsidR="5721A31E" w:rsidRDefault="00D76624" w:rsidP="5721A31E">
          <w:pPr>
            <w:pStyle w:val="Header"/>
            <w:ind w:right="-115"/>
            <w:jc w:val="right"/>
          </w:pPr>
        </w:p>
      </w:tc>
    </w:tr>
  </w:tbl>
  <w:p w14:paraId="13E2705C" w14:textId="77777777" w:rsidR="5721A31E" w:rsidRDefault="00D76624" w:rsidP="5721A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45AA" w14:textId="77777777" w:rsidR="0032748B" w:rsidRDefault="0032748B" w:rsidP="00D24A2F">
      <w:r>
        <w:separator/>
      </w:r>
    </w:p>
  </w:footnote>
  <w:footnote w:type="continuationSeparator" w:id="0">
    <w:p w14:paraId="373303BC" w14:textId="77777777" w:rsidR="0032748B" w:rsidRDefault="0032748B" w:rsidP="00D2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1"/>
      <w:gridCol w:w="2971"/>
      <w:gridCol w:w="2971"/>
    </w:tblGrid>
    <w:tr w:rsidR="5721A31E" w14:paraId="4920C492" w14:textId="77777777" w:rsidTr="5721A31E">
      <w:tc>
        <w:tcPr>
          <w:tcW w:w="2971" w:type="dxa"/>
        </w:tcPr>
        <w:p w14:paraId="5E813303" w14:textId="77777777" w:rsidR="5721A31E" w:rsidRDefault="00D76624" w:rsidP="5721A31E">
          <w:pPr>
            <w:pStyle w:val="Header"/>
            <w:ind w:left="-115"/>
          </w:pPr>
        </w:p>
      </w:tc>
      <w:tc>
        <w:tcPr>
          <w:tcW w:w="2971" w:type="dxa"/>
        </w:tcPr>
        <w:p w14:paraId="1D8EF234" w14:textId="77777777" w:rsidR="5721A31E" w:rsidRDefault="00D76624" w:rsidP="5721A31E">
          <w:pPr>
            <w:pStyle w:val="Header"/>
            <w:jc w:val="center"/>
          </w:pPr>
        </w:p>
      </w:tc>
      <w:tc>
        <w:tcPr>
          <w:tcW w:w="2971" w:type="dxa"/>
        </w:tcPr>
        <w:p w14:paraId="0FEE6EE3" w14:textId="77777777" w:rsidR="5721A31E" w:rsidRDefault="00D76624" w:rsidP="5721A31E">
          <w:pPr>
            <w:pStyle w:val="Header"/>
            <w:ind w:right="-115"/>
            <w:jc w:val="right"/>
          </w:pPr>
        </w:p>
      </w:tc>
    </w:tr>
  </w:tbl>
  <w:p w14:paraId="0921E12B" w14:textId="77777777" w:rsidR="5721A31E" w:rsidRDefault="00D76624" w:rsidP="5721A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C1F9" w14:textId="2C5930AB" w:rsidR="00D24A2F" w:rsidRDefault="00D24A2F">
    <w:pPr>
      <w:pStyle w:val="Header"/>
    </w:pPr>
    <w:r>
      <w:rPr>
        <w:noProof/>
        <w:color w:val="083065"/>
      </w:rPr>
      <w:drawing>
        <wp:anchor distT="0" distB="0" distL="114300" distR="114300" simplePos="0" relativeHeight="251659264" behindDoc="1" locked="0" layoutInCell="1" allowOverlap="1" wp14:anchorId="74ACE756" wp14:editId="276367DB">
          <wp:simplePos x="0" y="0"/>
          <wp:positionH relativeFrom="column">
            <wp:posOffset>0</wp:posOffset>
          </wp:positionH>
          <wp:positionV relativeFrom="paragraph">
            <wp:posOffset>0</wp:posOffset>
          </wp:positionV>
          <wp:extent cx="6921305" cy="1000072"/>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21305" cy="1000072"/>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9DD"/>
    <w:multiLevelType w:val="hybridMultilevel"/>
    <w:tmpl w:val="B838C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74237"/>
    <w:multiLevelType w:val="multilevel"/>
    <w:tmpl w:val="E1A40D0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112033D"/>
    <w:multiLevelType w:val="hybridMultilevel"/>
    <w:tmpl w:val="F68852E0"/>
    <w:lvl w:ilvl="0" w:tplc="B59A4F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6A97F8">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DCC0B4">
      <w:start w:val="1"/>
      <w:numFmt w:val="lowerLetter"/>
      <w:lvlRestart w:val="0"/>
      <w:lvlText w:val="%3."/>
      <w:lvlJc w:val="left"/>
      <w:pPr>
        <w:ind w:left="1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126096">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608D06">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C27B3E">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A0F77C">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E89202">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D61CC2">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E7381A"/>
    <w:multiLevelType w:val="hybridMultilevel"/>
    <w:tmpl w:val="12C44E10"/>
    <w:lvl w:ilvl="0" w:tplc="204C5F1A">
      <w:start w:val="2"/>
      <w:numFmt w:val="lowerLetter"/>
      <w:lvlText w:val="%1."/>
      <w:lvlJc w:val="left"/>
      <w:pPr>
        <w:ind w:left="1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B809AE">
      <w:start w:val="1"/>
      <w:numFmt w:val="lowerRoman"/>
      <w:lvlText w:val="%2."/>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48E132">
      <w:start w:val="1"/>
      <w:numFmt w:val="lowerRoman"/>
      <w:lvlText w:val="%3"/>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E247E8">
      <w:start w:val="1"/>
      <w:numFmt w:val="decimal"/>
      <w:lvlText w:val="%4"/>
      <w:lvlJc w:val="left"/>
      <w:pPr>
        <w:ind w:left="2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74AEDA">
      <w:start w:val="1"/>
      <w:numFmt w:val="lowerLetter"/>
      <w:lvlText w:val="%5"/>
      <w:lvlJc w:val="left"/>
      <w:pPr>
        <w:ind w:left="3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C65A36">
      <w:start w:val="1"/>
      <w:numFmt w:val="lowerRoman"/>
      <w:lvlText w:val="%6"/>
      <w:lvlJc w:val="left"/>
      <w:pPr>
        <w:ind w:left="4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52B92E">
      <w:start w:val="1"/>
      <w:numFmt w:val="decimal"/>
      <w:lvlText w:val="%7"/>
      <w:lvlJc w:val="left"/>
      <w:pPr>
        <w:ind w:left="4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C49BD4">
      <w:start w:val="1"/>
      <w:numFmt w:val="lowerLetter"/>
      <w:lvlText w:val="%8"/>
      <w:lvlJc w:val="left"/>
      <w:pPr>
        <w:ind w:left="5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409200">
      <w:start w:val="1"/>
      <w:numFmt w:val="lowerRoman"/>
      <w:lvlText w:val="%9"/>
      <w:lvlJc w:val="left"/>
      <w:pPr>
        <w:ind w:left="6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252D3A"/>
    <w:multiLevelType w:val="hybridMultilevel"/>
    <w:tmpl w:val="EF1E14E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752AD9"/>
    <w:multiLevelType w:val="hybridMultilevel"/>
    <w:tmpl w:val="E29A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97246"/>
    <w:multiLevelType w:val="hybridMultilevel"/>
    <w:tmpl w:val="9D683C2E"/>
    <w:lvl w:ilvl="0" w:tplc="23F8372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E4B35"/>
    <w:multiLevelType w:val="hybridMultilevel"/>
    <w:tmpl w:val="F9BC3D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4618B"/>
    <w:multiLevelType w:val="multilevel"/>
    <w:tmpl w:val="A0B2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C67FD5"/>
    <w:multiLevelType w:val="hybridMultilevel"/>
    <w:tmpl w:val="BDC49C90"/>
    <w:lvl w:ilvl="0" w:tplc="ADDC78B8">
      <w:start w:val="1"/>
      <w:numFmt w:val="decimal"/>
      <w:lvlText w:val="%1."/>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7A01C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466E4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56865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0C129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E6D2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423F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D0B2A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8481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DE21F4"/>
    <w:multiLevelType w:val="hybridMultilevel"/>
    <w:tmpl w:val="B120C27E"/>
    <w:lvl w:ilvl="0" w:tplc="ECDA1B5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5222C6">
      <w:start w:val="1"/>
      <w:numFmt w:val="lowerLetter"/>
      <w:lvlText w:val="%2"/>
      <w:lvlJc w:val="left"/>
      <w:pPr>
        <w:ind w:left="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C8658E">
      <w:start w:val="1"/>
      <w:numFmt w:val="lowerLetter"/>
      <w:lvlRestart w:val="0"/>
      <w:lvlText w:val="%3."/>
      <w:lvlJc w:val="left"/>
      <w:pPr>
        <w:ind w:left="1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3C7A4A">
      <w:start w:val="1"/>
      <w:numFmt w:val="decimal"/>
      <w:lvlText w:val="%4"/>
      <w:lvlJc w:val="left"/>
      <w:pPr>
        <w:ind w:left="2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F69F04">
      <w:start w:val="1"/>
      <w:numFmt w:val="lowerLetter"/>
      <w:lvlText w:val="%5"/>
      <w:lvlJc w:val="left"/>
      <w:pPr>
        <w:ind w:left="2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BAD36A">
      <w:start w:val="1"/>
      <w:numFmt w:val="lowerRoman"/>
      <w:lvlText w:val="%6"/>
      <w:lvlJc w:val="left"/>
      <w:pPr>
        <w:ind w:left="3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BC1EF2">
      <w:start w:val="1"/>
      <w:numFmt w:val="decimal"/>
      <w:lvlText w:val="%7"/>
      <w:lvlJc w:val="left"/>
      <w:pPr>
        <w:ind w:left="4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D2FFE8">
      <w:start w:val="1"/>
      <w:numFmt w:val="lowerLetter"/>
      <w:lvlText w:val="%8"/>
      <w:lvlJc w:val="left"/>
      <w:pPr>
        <w:ind w:left="4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442E16">
      <w:start w:val="1"/>
      <w:numFmt w:val="lowerRoman"/>
      <w:lvlText w:val="%9"/>
      <w:lvlJc w:val="left"/>
      <w:pPr>
        <w:ind w:left="5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637182"/>
    <w:multiLevelType w:val="multilevel"/>
    <w:tmpl w:val="D654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2504B5"/>
    <w:multiLevelType w:val="hybridMultilevel"/>
    <w:tmpl w:val="82AA1D6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9231A"/>
    <w:multiLevelType w:val="hybridMultilevel"/>
    <w:tmpl w:val="B4D4C450"/>
    <w:lvl w:ilvl="0" w:tplc="04090015">
      <w:start w:val="1"/>
      <w:numFmt w:val="upperLetter"/>
      <w:lvlText w:val="%1."/>
      <w:lvlJc w:val="left"/>
      <w:pPr>
        <w:ind w:left="720" w:hanging="360"/>
      </w:pPr>
      <w:rPr>
        <w:rFonts w:hint="default"/>
      </w:rPr>
    </w:lvl>
    <w:lvl w:ilvl="1" w:tplc="E250D558">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01784"/>
    <w:multiLevelType w:val="hybridMultilevel"/>
    <w:tmpl w:val="B7943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42489"/>
    <w:multiLevelType w:val="hybridMultilevel"/>
    <w:tmpl w:val="C86EC776"/>
    <w:lvl w:ilvl="0" w:tplc="AB7EB15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66680A">
      <w:start w:val="1"/>
      <w:numFmt w:val="lowerLetter"/>
      <w:lvlText w:val="%2"/>
      <w:lvlJc w:val="left"/>
      <w:pPr>
        <w:ind w:left="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DEFB48">
      <w:start w:val="1"/>
      <w:numFmt w:val="lowerRoman"/>
      <w:lvlRestart w:val="0"/>
      <w:lvlText w:val="%3."/>
      <w:lvlJc w:val="left"/>
      <w:pPr>
        <w:ind w:left="2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BC79A4">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08CC9C">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ACAB8">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DE3638">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D07534">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84E416">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114D74"/>
    <w:multiLevelType w:val="hybridMultilevel"/>
    <w:tmpl w:val="8160C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A5337"/>
    <w:multiLevelType w:val="hybridMultilevel"/>
    <w:tmpl w:val="54B4DB04"/>
    <w:lvl w:ilvl="0" w:tplc="D4BA67D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7899A8">
      <w:start w:val="1"/>
      <w:numFmt w:val="lowerRoman"/>
      <w:lvlText w:val="%2."/>
      <w:lvlJc w:val="left"/>
      <w:pPr>
        <w:ind w:left="2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C8E760">
      <w:start w:val="1"/>
      <w:numFmt w:val="lowerRoman"/>
      <w:lvlText w:val="%3"/>
      <w:lvlJc w:val="left"/>
      <w:pPr>
        <w:ind w:left="2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3AD5A8">
      <w:start w:val="1"/>
      <w:numFmt w:val="decimal"/>
      <w:lvlText w:val="%4"/>
      <w:lvlJc w:val="left"/>
      <w:pPr>
        <w:ind w:left="2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342C80">
      <w:start w:val="1"/>
      <w:numFmt w:val="lowerLetter"/>
      <w:lvlText w:val="%5"/>
      <w:lvlJc w:val="left"/>
      <w:pPr>
        <w:ind w:left="3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34FE7C">
      <w:start w:val="1"/>
      <w:numFmt w:val="lowerRoman"/>
      <w:lvlText w:val="%6"/>
      <w:lvlJc w:val="left"/>
      <w:pPr>
        <w:ind w:left="4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EAAAE">
      <w:start w:val="1"/>
      <w:numFmt w:val="decimal"/>
      <w:lvlText w:val="%7"/>
      <w:lvlJc w:val="left"/>
      <w:pPr>
        <w:ind w:left="5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8E1150">
      <w:start w:val="1"/>
      <w:numFmt w:val="lowerLetter"/>
      <w:lvlText w:val="%8"/>
      <w:lvlJc w:val="left"/>
      <w:pPr>
        <w:ind w:left="5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8C3498">
      <w:start w:val="1"/>
      <w:numFmt w:val="lowerRoman"/>
      <w:lvlText w:val="%9"/>
      <w:lvlJc w:val="left"/>
      <w:pPr>
        <w:ind w:left="6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FE5262"/>
    <w:multiLevelType w:val="hybridMultilevel"/>
    <w:tmpl w:val="8B026784"/>
    <w:lvl w:ilvl="0" w:tplc="2F32E8F4">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822020"/>
    <w:multiLevelType w:val="hybridMultilevel"/>
    <w:tmpl w:val="07521294"/>
    <w:lvl w:ilvl="0" w:tplc="372882D8">
      <w:start w:val="1"/>
      <w:numFmt w:val="lowerLetter"/>
      <w:lvlText w:val="%1."/>
      <w:lvlJc w:val="left"/>
      <w:pPr>
        <w:ind w:left="288"/>
      </w:pPr>
      <w:rPr>
        <w:rFonts w:asciiTheme="minorHAnsi" w:eastAsiaTheme="minorEastAsia" w:hAnsiTheme="minorHAnsi" w:cstheme="minorBidi"/>
        <w:b w:val="0"/>
        <w:i w:val="0"/>
        <w:strike w:val="0"/>
        <w:dstrike w:val="0"/>
        <w:color w:val="000000"/>
        <w:sz w:val="24"/>
        <w:szCs w:val="24"/>
        <w:u w:val="none" w:color="000000"/>
        <w:bdr w:val="none" w:sz="0" w:space="0" w:color="auto"/>
        <w:shd w:val="clear" w:color="auto" w:fill="auto"/>
        <w:vertAlign w:val="baseline"/>
      </w:rPr>
    </w:lvl>
    <w:lvl w:ilvl="1" w:tplc="1696CAD4">
      <w:start w:val="1"/>
      <w:numFmt w:val="lowerLetter"/>
      <w:lvlText w:val="%2."/>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EE9DA6">
      <w:start w:val="1"/>
      <w:numFmt w:val="lowerRoman"/>
      <w:lvlText w:val="%3"/>
      <w:lvlJc w:val="left"/>
      <w:pPr>
        <w:ind w:left="1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DA0AB6">
      <w:start w:val="1"/>
      <w:numFmt w:val="decimal"/>
      <w:lvlText w:val="%4"/>
      <w:lvlJc w:val="left"/>
      <w:pPr>
        <w:ind w:left="2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36C876">
      <w:start w:val="1"/>
      <w:numFmt w:val="lowerLetter"/>
      <w:lvlText w:val="%5"/>
      <w:lvlJc w:val="left"/>
      <w:pPr>
        <w:ind w:left="2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5C6480">
      <w:start w:val="1"/>
      <w:numFmt w:val="lowerRoman"/>
      <w:lvlText w:val="%6"/>
      <w:lvlJc w:val="left"/>
      <w:pPr>
        <w:ind w:left="3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D23A02">
      <w:start w:val="1"/>
      <w:numFmt w:val="decimal"/>
      <w:lvlText w:val="%7"/>
      <w:lvlJc w:val="left"/>
      <w:pPr>
        <w:ind w:left="4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2C0D3A">
      <w:start w:val="1"/>
      <w:numFmt w:val="lowerLetter"/>
      <w:lvlText w:val="%8"/>
      <w:lvlJc w:val="left"/>
      <w:pPr>
        <w:ind w:left="4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20C738">
      <w:start w:val="1"/>
      <w:numFmt w:val="lowerRoman"/>
      <w:lvlText w:val="%9"/>
      <w:lvlJc w:val="left"/>
      <w:pPr>
        <w:ind w:left="5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7E5D71"/>
    <w:multiLevelType w:val="multilevel"/>
    <w:tmpl w:val="2EC46008"/>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21" w15:restartNumberingAfterBreak="0">
    <w:nsid w:val="67A02BF8"/>
    <w:multiLevelType w:val="hybridMultilevel"/>
    <w:tmpl w:val="0DE8D314"/>
    <w:lvl w:ilvl="0" w:tplc="5D4A43FC">
      <w:start w:val="4"/>
      <w:numFmt w:val="decimal"/>
      <w:lvlText w:val="%1."/>
      <w:lvlJc w:val="left"/>
      <w:pPr>
        <w:ind w:left="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5ED6FC">
      <w:start w:val="1"/>
      <w:numFmt w:val="lowerLetter"/>
      <w:lvlText w:val="%2."/>
      <w:lvlJc w:val="left"/>
      <w:pPr>
        <w:ind w:left="1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EEA828">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FC003E">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BC3DF2">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B453E2">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BE29B4">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C418FA">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98AEE2">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25798C"/>
    <w:multiLevelType w:val="hybridMultilevel"/>
    <w:tmpl w:val="5DD8B0E2"/>
    <w:lvl w:ilvl="0" w:tplc="4A58799E">
      <w:start w:val="1"/>
      <w:numFmt w:val="upperLetter"/>
      <w:pStyle w:val="Heading2"/>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6E2C6C16"/>
    <w:multiLevelType w:val="multilevel"/>
    <w:tmpl w:val="6E2ABD14"/>
    <w:lvl w:ilvl="0">
      <w:start w:val="1"/>
      <w:numFmt w:val="low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3B50FA"/>
    <w:multiLevelType w:val="hybridMultilevel"/>
    <w:tmpl w:val="37E01D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92828"/>
    <w:multiLevelType w:val="multilevel"/>
    <w:tmpl w:val="18C8327A"/>
    <w:lvl w:ilvl="0">
      <w:start w:val="1"/>
      <w:numFmt w:val="low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22"/>
    <w:lvlOverride w:ilvl="0">
      <w:startOverride w:val="1"/>
    </w:lvlOverride>
  </w:num>
  <w:num w:numId="4">
    <w:abstractNumId w:val="19"/>
  </w:num>
  <w:num w:numId="5">
    <w:abstractNumId w:val="2"/>
  </w:num>
  <w:num w:numId="6">
    <w:abstractNumId w:val="14"/>
  </w:num>
  <w:num w:numId="7">
    <w:abstractNumId w:val="9"/>
  </w:num>
  <w:num w:numId="8">
    <w:abstractNumId w:val="17"/>
  </w:num>
  <w:num w:numId="9">
    <w:abstractNumId w:val="3"/>
  </w:num>
  <w:num w:numId="10">
    <w:abstractNumId w:val="15"/>
  </w:num>
  <w:num w:numId="11">
    <w:abstractNumId w:val="21"/>
  </w:num>
  <w:num w:numId="12">
    <w:abstractNumId w:val="10"/>
  </w:num>
  <w:num w:numId="13">
    <w:abstractNumId w:val="13"/>
  </w:num>
  <w:num w:numId="14">
    <w:abstractNumId w:val="4"/>
  </w:num>
  <w:num w:numId="15">
    <w:abstractNumId w:val="18"/>
  </w:num>
  <w:num w:numId="16">
    <w:abstractNumId w:val="8"/>
  </w:num>
  <w:num w:numId="17">
    <w:abstractNumId w:val="11"/>
  </w:num>
  <w:num w:numId="18">
    <w:abstractNumId w:val="12"/>
  </w:num>
  <w:num w:numId="19">
    <w:abstractNumId w:val="24"/>
  </w:num>
  <w:num w:numId="20">
    <w:abstractNumId w:val="23"/>
  </w:num>
  <w:num w:numId="21">
    <w:abstractNumId w:val="25"/>
  </w:num>
  <w:num w:numId="22">
    <w:abstractNumId w:val="1"/>
  </w:num>
  <w:num w:numId="23">
    <w:abstractNumId w:val="0"/>
  </w:num>
  <w:num w:numId="24">
    <w:abstractNumId w:val="5"/>
  </w:num>
  <w:num w:numId="25">
    <w:abstractNumId w:val="6"/>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2F"/>
    <w:rsid w:val="00004BD3"/>
    <w:rsid w:val="00005759"/>
    <w:rsid w:val="00016ED6"/>
    <w:rsid w:val="00024426"/>
    <w:rsid w:val="00025686"/>
    <w:rsid w:val="00034C65"/>
    <w:rsid w:val="00036148"/>
    <w:rsid w:val="00036495"/>
    <w:rsid w:val="000445A5"/>
    <w:rsid w:val="00057A34"/>
    <w:rsid w:val="00086932"/>
    <w:rsid w:val="000978EE"/>
    <w:rsid w:val="000B2693"/>
    <w:rsid w:val="000C3EF9"/>
    <w:rsid w:val="000D0692"/>
    <w:rsid w:val="000D09BF"/>
    <w:rsid w:val="000F3204"/>
    <w:rsid w:val="00100F2A"/>
    <w:rsid w:val="001172B7"/>
    <w:rsid w:val="00130A74"/>
    <w:rsid w:val="00161395"/>
    <w:rsid w:val="00181680"/>
    <w:rsid w:val="00210D17"/>
    <w:rsid w:val="00230FE6"/>
    <w:rsid w:val="0023130C"/>
    <w:rsid w:val="002343DC"/>
    <w:rsid w:val="00235535"/>
    <w:rsid w:val="00276DD0"/>
    <w:rsid w:val="00281618"/>
    <w:rsid w:val="002A1142"/>
    <w:rsid w:val="002B4A37"/>
    <w:rsid w:val="002B7049"/>
    <w:rsid w:val="002E21D4"/>
    <w:rsid w:val="002E5270"/>
    <w:rsid w:val="002F1D26"/>
    <w:rsid w:val="00303BC6"/>
    <w:rsid w:val="0032748B"/>
    <w:rsid w:val="00327A9F"/>
    <w:rsid w:val="00337DBA"/>
    <w:rsid w:val="00357DF9"/>
    <w:rsid w:val="003607FF"/>
    <w:rsid w:val="00367748"/>
    <w:rsid w:val="00380160"/>
    <w:rsid w:val="003B28D6"/>
    <w:rsid w:val="003C440F"/>
    <w:rsid w:val="003D419C"/>
    <w:rsid w:val="003E60E0"/>
    <w:rsid w:val="003E71B5"/>
    <w:rsid w:val="003E7346"/>
    <w:rsid w:val="00404F3C"/>
    <w:rsid w:val="00416C48"/>
    <w:rsid w:val="00420175"/>
    <w:rsid w:val="00452015"/>
    <w:rsid w:val="004600A1"/>
    <w:rsid w:val="00461E38"/>
    <w:rsid w:val="00476EE8"/>
    <w:rsid w:val="00482144"/>
    <w:rsid w:val="004825FB"/>
    <w:rsid w:val="004917F6"/>
    <w:rsid w:val="0049693D"/>
    <w:rsid w:val="004A06C1"/>
    <w:rsid w:val="004A458B"/>
    <w:rsid w:val="004B2318"/>
    <w:rsid w:val="004B4983"/>
    <w:rsid w:val="004D1DD0"/>
    <w:rsid w:val="004F2E66"/>
    <w:rsid w:val="004F587B"/>
    <w:rsid w:val="004F60DB"/>
    <w:rsid w:val="00552005"/>
    <w:rsid w:val="0055283B"/>
    <w:rsid w:val="005630F7"/>
    <w:rsid w:val="0058016C"/>
    <w:rsid w:val="005D10ED"/>
    <w:rsid w:val="006014C9"/>
    <w:rsid w:val="006211E6"/>
    <w:rsid w:val="00640F9A"/>
    <w:rsid w:val="00663796"/>
    <w:rsid w:val="0067617D"/>
    <w:rsid w:val="006C1BB8"/>
    <w:rsid w:val="006D78BB"/>
    <w:rsid w:val="006E305A"/>
    <w:rsid w:val="006E60C8"/>
    <w:rsid w:val="006F4735"/>
    <w:rsid w:val="007169B7"/>
    <w:rsid w:val="00731458"/>
    <w:rsid w:val="00770DB5"/>
    <w:rsid w:val="007727D9"/>
    <w:rsid w:val="00773A90"/>
    <w:rsid w:val="00775EDD"/>
    <w:rsid w:val="00777F10"/>
    <w:rsid w:val="007835AC"/>
    <w:rsid w:val="0079575A"/>
    <w:rsid w:val="007A7BCB"/>
    <w:rsid w:val="007B7872"/>
    <w:rsid w:val="007C1D97"/>
    <w:rsid w:val="007D4DF4"/>
    <w:rsid w:val="007D791C"/>
    <w:rsid w:val="007E115B"/>
    <w:rsid w:val="00802263"/>
    <w:rsid w:val="00816494"/>
    <w:rsid w:val="00844B44"/>
    <w:rsid w:val="0085229F"/>
    <w:rsid w:val="008643CA"/>
    <w:rsid w:val="00872219"/>
    <w:rsid w:val="00877CDE"/>
    <w:rsid w:val="008827C8"/>
    <w:rsid w:val="008E0737"/>
    <w:rsid w:val="008E084C"/>
    <w:rsid w:val="008E0DE3"/>
    <w:rsid w:val="008E5C7C"/>
    <w:rsid w:val="00916228"/>
    <w:rsid w:val="0098301A"/>
    <w:rsid w:val="00985F29"/>
    <w:rsid w:val="0099363B"/>
    <w:rsid w:val="009B4233"/>
    <w:rsid w:val="009C22AB"/>
    <w:rsid w:val="009C79D0"/>
    <w:rsid w:val="009F2BB3"/>
    <w:rsid w:val="009F7934"/>
    <w:rsid w:val="00A009A9"/>
    <w:rsid w:val="00A07509"/>
    <w:rsid w:val="00A3332A"/>
    <w:rsid w:val="00A4081C"/>
    <w:rsid w:val="00A42202"/>
    <w:rsid w:val="00A42B86"/>
    <w:rsid w:val="00A4382B"/>
    <w:rsid w:val="00A4462A"/>
    <w:rsid w:val="00A8381B"/>
    <w:rsid w:val="00AF1D44"/>
    <w:rsid w:val="00B24649"/>
    <w:rsid w:val="00B30F59"/>
    <w:rsid w:val="00B437A7"/>
    <w:rsid w:val="00B5266A"/>
    <w:rsid w:val="00B540B2"/>
    <w:rsid w:val="00BC7B57"/>
    <w:rsid w:val="00BD21D0"/>
    <w:rsid w:val="00C17185"/>
    <w:rsid w:val="00C2060D"/>
    <w:rsid w:val="00C23A4E"/>
    <w:rsid w:val="00C3359D"/>
    <w:rsid w:val="00C360FE"/>
    <w:rsid w:val="00C65150"/>
    <w:rsid w:val="00C74840"/>
    <w:rsid w:val="00C75C7F"/>
    <w:rsid w:val="00C91469"/>
    <w:rsid w:val="00C9195E"/>
    <w:rsid w:val="00CA298F"/>
    <w:rsid w:val="00CA6A33"/>
    <w:rsid w:val="00CC3738"/>
    <w:rsid w:val="00CD1662"/>
    <w:rsid w:val="00CF65AD"/>
    <w:rsid w:val="00D0492B"/>
    <w:rsid w:val="00D14FF5"/>
    <w:rsid w:val="00D16D56"/>
    <w:rsid w:val="00D24A2F"/>
    <w:rsid w:val="00D276AD"/>
    <w:rsid w:val="00D34C2E"/>
    <w:rsid w:val="00D42716"/>
    <w:rsid w:val="00D44CD6"/>
    <w:rsid w:val="00D6690D"/>
    <w:rsid w:val="00D76624"/>
    <w:rsid w:val="00D771F3"/>
    <w:rsid w:val="00D842CA"/>
    <w:rsid w:val="00DB705E"/>
    <w:rsid w:val="00DE3407"/>
    <w:rsid w:val="00DE6BC0"/>
    <w:rsid w:val="00E0055F"/>
    <w:rsid w:val="00E019F9"/>
    <w:rsid w:val="00E03505"/>
    <w:rsid w:val="00E0548C"/>
    <w:rsid w:val="00E068CB"/>
    <w:rsid w:val="00E14F47"/>
    <w:rsid w:val="00E27C2B"/>
    <w:rsid w:val="00E46402"/>
    <w:rsid w:val="00E50DD0"/>
    <w:rsid w:val="00E51496"/>
    <w:rsid w:val="00E70F8C"/>
    <w:rsid w:val="00E71B2D"/>
    <w:rsid w:val="00E87DC4"/>
    <w:rsid w:val="00E93237"/>
    <w:rsid w:val="00EB5806"/>
    <w:rsid w:val="00EC6EE3"/>
    <w:rsid w:val="00EE12AD"/>
    <w:rsid w:val="00EE656C"/>
    <w:rsid w:val="00F60ADD"/>
    <w:rsid w:val="00F65265"/>
    <w:rsid w:val="00F72274"/>
    <w:rsid w:val="00F73153"/>
    <w:rsid w:val="00F9296C"/>
    <w:rsid w:val="00F97D36"/>
    <w:rsid w:val="00FB6C42"/>
    <w:rsid w:val="00FD1DAD"/>
    <w:rsid w:val="00FD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6D158"/>
  <w15:chartTrackingRefBased/>
  <w15:docId w15:val="{8A8F96B4-D22B-794B-993E-E8A946C8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2F"/>
    <w:rPr>
      <w:rFonts w:eastAsiaTheme="minorEastAsia"/>
      <w:sz w:val="22"/>
    </w:rPr>
  </w:style>
  <w:style w:type="paragraph" w:styleId="Heading2">
    <w:name w:val="heading 2"/>
    <w:basedOn w:val="Normal"/>
    <w:next w:val="Normal"/>
    <w:link w:val="Heading2Char"/>
    <w:uiPriority w:val="9"/>
    <w:unhideWhenUsed/>
    <w:qFormat/>
    <w:rsid w:val="00D24A2F"/>
    <w:pPr>
      <w:keepNext/>
      <w:numPr>
        <w:numId w:val="2"/>
      </w:numPr>
      <w:spacing w:before="100" w:beforeAutospacing="1" w:after="240"/>
      <w:ind w:left="763"/>
      <w:jc w:val="both"/>
      <w:textAlignment w:val="baseline"/>
      <w:outlineLvl w:val="1"/>
    </w:pPr>
    <w:rPr>
      <w:rFonts w:eastAsia="Times New Roman" w:cs="Calibri"/>
      <w:b/>
      <w:bCs/>
      <w:szCs w:val="22"/>
    </w:rPr>
  </w:style>
  <w:style w:type="paragraph" w:styleId="Heading3">
    <w:name w:val="heading 3"/>
    <w:basedOn w:val="Normal"/>
    <w:next w:val="Normal"/>
    <w:link w:val="Heading3Char"/>
    <w:uiPriority w:val="9"/>
    <w:unhideWhenUsed/>
    <w:qFormat/>
    <w:rsid w:val="00D24A2F"/>
    <w:pPr>
      <w:keepNext/>
      <w:jc w:val="center"/>
      <w:outlineLvl w:val="2"/>
    </w:pPr>
    <w:rPr>
      <w:b/>
    </w:rPr>
  </w:style>
  <w:style w:type="paragraph" w:styleId="Heading4">
    <w:name w:val="heading 4"/>
    <w:basedOn w:val="Normal"/>
    <w:next w:val="Normal"/>
    <w:link w:val="Heading4Char"/>
    <w:uiPriority w:val="9"/>
    <w:unhideWhenUsed/>
    <w:qFormat/>
    <w:rsid w:val="00D24A2F"/>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A2F"/>
    <w:rPr>
      <w:rFonts w:eastAsia="Times New Roman" w:cs="Calibri"/>
      <w:b/>
      <w:bCs/>
      <w:sz w:val="22"/>
      <w:szCs w:val="22"/>
    </w:rPr>
  </w:style>
  <w:style w:type="character" w:customStyle="1" w:styleId="Heading3Char">
    <w:name w:val="Heading 3 Char"/>
    <w:basedOn w:val="DefaultParagraphFont"/>
    <w:link w:val="Heading3"/>
    <w:uiPriority w:val="9"/>
    <w:rsid w:val="00D24A2F"/>
    <w:rPr>
      <w:rFonts w:eastAsiaTheme="minorEastAsia"/>
      <w:b/>
      <w:sz w:val="22"/>
    </w:rPr>
  </w:style>
  <w:style w:type="character" w:customStyle="1" w:styleId="Heading4Char">
    <w:name w:val="Heading 4 Char"/>
    <w:basedOn w:val="DefaultParagraphFont"/>
    <w:link w:val="Heading4"/>
    <w:uiPriority w:val="9"/>
    <w:rsid w:val="00D24A2F"/>
    <w:rPr>
      <w:rFonts w:eastAsiaTheme="minorEastAsia"/>
      <w:b/>
      <w:sz w:val="22"/>
    </w:rPr>
  </w:style>
  <w:style w:type="paragraph" w:styleId="Header">
    <w:name w:val="header"/>
    <w:basedOn w:val="Normal"/>
    <w:link w:val="HeaderChar"/>
    <w:uiPriority w:val="99"/>
    <w:unhideWhenUsed/>
    <w:rsid w:val="00D24A2F"/>
    <w:pPr>
      <w:tabs>
        <w:tab w:val="center" w:pos="4320"/>
        <w:tab w:val="right" w:pos="8640"/>
      </w:tabs>
    </w:pPr>
  </w:style>
  <w:style w:type="character" w:customStyle="1" w:styleId="HeaderChar">
    <w:name w:val="Header Char"/>
    <w:basedOn w:val="DefaultParagraphFont"/>
    <w:link w:val="Header"/>
    <w:uiPriority w:val="99"/>
    <w:rsid w:val="00D24A2F"/>
    <w:rPr>
      <w:rFonts w:eastAsiaTheme="minorEastAsia"/>
      <w:sz w:val="22"/>
    </w:rPr>
  </w:style>
  <w:style w:type="paragraph" w:styleId="Footer">
    <w:name w:val="footer"/>
    <w:basedOn w:val="Normal"/>
    <w:link w:val="FooterChar"/>
    <w:uiPriority w:val="99"/>
    <w:unhideWhenUsed/>
    <w:rsid w:val="00D24A2F"/>
    <w:pPr>
      <w:tabs>
        <w:tab w:val="center" w:pos="4320"/>
        <w:tab w:val="right" w:pos="8640"/>
      </w:tabs>
    </w:pPr>
  </w:style>
  <w:style w:type="character" w:customStyle="1" w:styleId="FooterChar">
    <w:name w:val="Footer Char"/>
    <w:basedOn w:val="DefaultParagraphFont"/>
    <w:link w:val="Footer"/>
    <w:uiPriority w:val="99"/>
    <w:rsid w:val="00D24A2F"/>
    <w:rPr>
      <w:rFonts w:eastAsiaTheme="minorEastAsia"/>
      <w:sz w:val="22"/>
    </w:rPr>
  </w:style>
  <w:style w:type="paragraph" w:styleId="ListBullet">
    <w:name w:val="List Bullet"/>
    <w:basedOn w:val="Normal"/>
    <w:uiPriority w:val="11"/>
    <w:unhideWhenUsed/>
    <w:qFormat/>
    <w:rsid w:val="00D24A2F"/>
    <w:pPr>
      <w:numPr>
        <w:numId w:val="1"/>
      </w:numPr>
      <w:spacing w:before="60" w:after="60" w:line="288" w:lineRule="auto"/>
    </w:pPr>
    <w:rPr>
      <w:rFonts w:eastAsiaTheme="minorHAnsi"/>
      <w:sz w:val="21"/>
      <w:szCs w:val="18"/>
      <w:lang w:eastAsia="ja-JP"/>
    </w:rPr>
  </w:style>
  <w:style w:type="table" w:styleId="PlainTable4">
    <w:name w:val="Plain Table 4"/>
    <w:basedOn w:val="TableNormal"/>
    <w:uiPriority w:val="44"/>
    <w:rsid w:val="00D24A2F"/>
    <w:rPr>
      <w:color w:val="404040" w:themeColor="text1" w:themeTint="BF"/>
      <w:sz w:val="18"/>
      <w:szCs w:val="18"/>
      <w:lang w:eastAsia="ja-JP"/>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D24A2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A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A37"/>
    <w:rPr>
      <w:rFonts w:ascii="Times New Roman" w:eastAsiaTheme="minorEastAsia" w:hAnsi="Times New Roman" w:cs="Times New Roman"/>
      <w:sz w:val="18"/>
      <w:szCs w:val="18"/>
    </w:rPr>
  </w:style>
  <w:style w:type="paragraph" w:styleId="ListParagraph">
    <w:name w:val="List Paragraph"/>
    <w:basedOn w:val="Normal"/>
    <w:uiPriority w:val="34"/>
    <w:qFormat/>
    <w:rsid w:val="00D14FF5"/>
    <w:pPr>
      <w:ind w:left="720"/>
      <w:contextualSpacing/>
    </w:pPr>
  </w:style>
  <w:style w:type="character" w:styleId="CommentReference">
    <w:name w:val="annotation reference"/>
    <w:basedOn w:val="DefaultParagraphFont"/>
    <w:uiPriority w:val="99"/>
    <w:semiHidden/>
    <w:unhideWhenUsed/>
    <w:rsid w:val="006C1BB8"/>
    <w:rPr>
      <w:sz w:val="16"/>
      <w:szCs w:val="16"/>
    </w:rPr>
  </w:style>
  <w:style w:type="paragraph" w:styleId="CommentText">
    <w:name w:val="annotation text"/>
    <w:basedOn w:val="Normal"/>
    <w:link w:val="CommentTextChar"/>
    <w:uiPriority w:val="99"/>
    <w:semiHidden/>
    <w:unhideWhenUsed/>
    <w:rsid w:val="006C1BB8"/>
    <w:pPr>
      <w:spacing w:after="13"/>
      <w:ind w:left="10" w:hanging="10"/>
      <w:jc w:val="both"/>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6C1BB8"/>
    <w:rPr>
      <w:rFonts w:ascii="Calibri" w:eastAsia="Calibri" w:hAnsi="Calibri" w:cs="Calibri"/>
      <w:color w:val="000000"/>
      <w:sz w:val="20"/>
      <w:szCs w:val="20"/>
    </w:rPr>
  </w:style>
  <w:style w:type="character" w:styleId="Hyperlink">
    <w:name w:val="Hyperlink"/>
    <w:basedOn w:val="DefaultParagraphFont"/>
    <w:uiPriority w:val="99"/>
    <w:unhideWhenUsed/>
    <w:rsid w:val="00420175"/>
    <w:rPr>
      <w:color w:val="0563C1" w:themeColor="hyperlink"/>
      <w:u w:val="single"/>
    </w:rPr>
  </w:style>
  <w:style w:type="character" w:customStyle="1" w:styleId="apple-converted-space">
    <w:name w:val="apple-converted-space"/>
    <w:basedOn w:val="DefaultParagraphFont"/>
    <w:rsid w:val="00C2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2992">
      <w:bodyDiv w:val="1"/>
      <w:marLeft w:val="0"/>
      <w:marRight w:val="0"/>
      <w:marTop w:val="0"/>
      <w:marBottom w:val="0"/>
      <w:divBdr>
        <w:top w:val="none" w:sz="0" w:space="0" w:color="auto"/>
        <w:left w:val="none" w:sz="0" w:space="0" w:color="auto"/>
        <w:bottom w:val="none" w:sz="0" w:space="0" w:color="auto"/>
        <w:right w:val="none" w:sz="0" w:space="0" w:color="auto"/>
      </w:divBdr>
    </w:div>
    <w:div w:id="1580361766">
      <w:bodyDiv w:val="1"/>
      <w:marLeft w:val="0"/>
      <w:marRight w:val="0"/>
      <w:marTop w:val="0"/>
      <w:marBottom w:val="0"/>
      <w:divBdr>
        <w:top w:val="none" w:sz="0" w:space="0" w:color="auto"/>
        <w:left w:val="none" w:sz="0" w:space="0" w:color="auto"/>
        <w:bottom w:val="none" w:sz="0" w:space="0" w:color="auto"/>
        <w:right w:val="none" w:sz="0" w:space="0" w:color="auto"/>
      </w:divBdr>
    </w:div>
    <w:div w:id="1586303012">
      <w:bodyDiv w:val="1"/>
      <w:marLeft w:val="0"/>
      <w:marRight w:val="0"/>
      <w:marTop w:val="0"/>
      <w:marBottom w:val="0"/>
      <w:divBdr>
        <w:top w:val="none" w:sz="0" w:space="0" w:color="auto"/>
        <w:left w:val="none" w:sz="0" w:space="0" w:color="auto"/>
        <w:bottom w:val="none" w:sz="0" w:space="0" w:color="auto"/>
        <w:right w:val="none" w:sz="0" w:space="0" w:color="auto"/>
      </w:divBdr>
    </w:div>
    <w:div w:id="16628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28FDA2A7C6774299FF16D132243E9E" ma:contentTypeVersion="15" ma:contentTypeDescription="Create a new document." ma:contentTypeScope="" ma:versionID="c21950c7cc0cc8b57cad239a24d9d2bd">
  <xsd:schema xmlns:xsd="http://www.w3.org/2001/XMLSchema" xmlns:xs="http://www.w3.org/2001/XMLSchema" xmlns:p="http://schemas.microsoft.com/office/2006/metadata/properties" xmlns:ns2="53894fc3-fbf3-47c8-9671-9fefdf36e178" xmlns:ns3="c4ce1cac-a8da-4971-b577-088cbfc3c871" targetNamespace="http://schemas.microsoft.com/office/2006/metadata/properties" ma:root="true" ma:fieldsID="4c38e5c9a5512f50d52d998290212691" ns2:_="" ns3:_="">
    <xsd:import namespace="53894fc3-fbf3-47c8-9671-9fefdf36e178"/>
    <xsd:import namespace="c4ce1cac-a8da-4971-b577-088cbfc3c8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94fc3-fbf3-47c8-9671-9fefdf36e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1a01ffc-7703-4b5f-b6e1-c1b8dc2ede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ce1cac-a8da-4971-b577-088cbfc3c8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a22586c-751d-4436-81e6-31ac7660584f}" ma:internalName="TaxCatchAll" ma:showField="CatchAllData" ma:web="c4ce1cac-a8da-4971-b577-088cbfc3c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4ce1cac-a8da-4971-b577-088cbfc3c871" xsi:nil="true"/>
    <lcf76f155ced4ddcb4097134ff3c332f xmlns="53894fc3-fbf3-47c8-9671-9fefdf36e1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F327C7-A326-4F0B-AB44-67DECD90AF37}">
  <ds:schemaRefs>
    <ds:schemaRef ds:uri="http://schemas.microsoft.com/sharepoint/v3/contenttype/forms"/>
  </ds:schemaRefs>
</ds:datastoreItem>
</file>

<file path=customXml/itemProps2.xml><?xml version="1.0" encoding="utf-8"?>
<ds:datastoreItem xmlns:ds="http://schemas.openxmlformats.org/officeDocument/2006/customXml" ds:itemID="{ADE1322F-49C4-4B5B-B02B-C144CEA2B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94fc3-fbf3-47c8-9671-9fefdf36e178"/>
    <ds:schemaRef ds:uri="c4ce1cac-a8da-4971-b577-088cbfc3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EB30A-D303-4F3D-8310-92B6CDAC6FFF}">
  <ds:schemaRefs>
    <ds:schemaRef ds:uri="http://schemas.microsoft.com/office/2006/metadata/properties"/>
    <ds:schemaRef ds:uri="http://schemas.microsoft.com/office/infopath/2007/PartnerControls"/>
    <ds:schemaRef ds:uri="c4ce1cac-a8da-4971-b577-088cbfc3c871"/>
    <ds:schemaRef ds:uri="53894fc3-fbf3-47c8-9671-9fefdf36e17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Warren</dc:creator>
  <cp:keywords/>
  <dc:description/>
  <cp:lastModifiedBy>McAlpin, Hayden</cp:lastModifiedBy>
  <cp:revision>2</cp:revision>
  <dcterms:created xsi:type="dcterms:W3CDTF">2023-10-16T21:44:00Z</dcterms:created>
  <dcterms:modified xsi:type="dcterms:W3CDTF">2023-10-16T21:44:00Z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0x0101009628FDA2A7C6774299FF16D132243E9E</vt:lpwstr>
  </property>
  <property fmtid="{D5CDD505-2E9C-101B-9397-08002B2CF9AE}" pid="3" name="MediaServiceImageTags">
    <vt:lpwstr/>
  </property>
</Properties>
</file>